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63" w:rsidRPr="004B32F6" w:rsidRDefault="00773F63" w:rsidP="00325161">
      <w:pPr>
        <w:jc w:val="both"/>
        <w:rPr>
          <w:rFonts w:cs="David"/>
          <w:sz w:val="24"/>
          <w:szCs w:val="24"/>
          <w:rtl/>
        </w:rPr>
      </w:pPr>
      <w:r w:rsidRPr="004B32F6">
        <w:rPr>
          <w:rFonts w:cs="David"/>
          <w:sz w:val="24"/>
          <w:szCs w:val="24"/>
          <w:rtl/>
        </w:rPr>
        <w:t xml:space="preserve">בס"ד ראה </w:t>
      </w:r>
      <w:r w:rsidR="00325161" w:rsidRPr="004B32F6">
        <w:rPr>
          <w:rFonts w:cs="David" w:hint="cs"/>
          <w:sz w:val="24"/>
          <w:szCs w:val="24"/>
          <w:rtl/>
        </w:rPr>
        <w:t>מידעתי תשעז</w:t>
      </w:r>
    </w:p>
    <w:p w:rsidR="00773F63" w:rsidRPr="004B32F6" w:rsidRDefault="004B32F6" w:rsidP="00325161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כחה של ראייה</w:t>
      </w:r>
    </w:p>
    <w:p w:rsidR="00325161" w:rsidRPr="004B32F6" w:rsidRDefault="00325161" w:rsidP="00325161">
      <w:pPr>
        <w:jc w:val="center"/>
        <w:rPr>
          <w:rFonts w:cs="David"/>
          <w:sz w:val="24"/>
          <w:szCs w:val="24"/>
          <w:rtl/>
        </w:rPr>
      </w:pPr>
    </w:p>
    <w:p w:rsidR="00BA66CD" w:rsidRPr="009567E9" w:rsidRDefault="00BA66CD" w:rsidP="00BA66CD">
      <w:pPr>
        <w:jc w:val="center"/>
        <w:rPr>
          <w:rFonts w:cs="David"/>
          <w:b/>
          <w:bCs/>
          <w:sz w:val="24"/>
          <w:szCs w:val="24"/>
          <w:rtl/>
        </w:rPr>
      </w:pPr>
      <w:r w:rsidRPr="009567E9">
        <w:rPr>
          <w:rFonts w:cs="David" w:hint="cs"/>
          <w:b/>
          <w:bCs/>
          <w:sz w:val="24"/>
          <w:szCs w:val="24"/>
          <w:rtl/>
        </w:rPr>
        <w:t>כחה של ראייה</w:t>
      </w:r>
    </w:p>
    <w:p w:rsidR="00BA66CD" w:rsidRPr="009567E9" w:rsidRDefault="00BA66CD" w:rsidP="00BA66CD">
      <w:pPr>
        <w:jc w:val="center"/>
        <w:rPr>
          <w:rFonts w:cs="David"/>
          <w:sz w:val="24"/>
          <w:szCs w:val="24"/>
          <w:rtl/>
        </w:rPr>
      </w:pPr>
    </w:p>
    <w:p w:rsidR="00BA66CD" w:rsidRPr="009567E9" w:rsidRDefault="00BA66CD" w:rsidP="00BA66CD">
      <w:pPr>
        <w:jc w:val="both"/>
        <w:rPr>
          <w:rFonts w:cs="David"/>
          <w:sz w:val="24"/>
          <w:szCs w:val="24"/>
          <w:rtl/>
        </w:rPr>
      </w:pPr>
      <w:r w:rsidRPr="009567E9">
        <w:rPr>
          <w:rFonts w:cs="David" w:hint="cs"/>
          <w:sz w:val="24"/>
          <w:szCs w:val="24"/>
          <w:rtl/>
        </w:rPr>
        <w:t>כמה פעמים בחיינו אומרים לנו: 'הכל תלוי בך', 'הכ</w:t>
      </w:r>
      <w:r>
        <w:rPr>
          <w:rFonts w:cs="David" w:hint="cs"/>
          <w:sz w:val="24"/>
          <w:szCs w:val="24"/>
          <w:rtl/>
        </w:rPr>
        <w:t>ל תלוי איך אתה רואה את הדברים',</w:t>
      </w:r>
      <w:r w:rsidRPr="009567E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'</w:t>
      </w:r>
      <w:r w:rsidRPr="009567E9">
        <w:rPr>
          <w:rFonts w:cs="David" w:hint="cs"/>
          <w:sz w:val="24"/>
          <w:szCs w:val="24"/>
          <w:rtl/>
        </w:rPr>
        <w:t xml:space="preserve">תראה את הנפילה כהזדמנות לפרוץ קדימה'. עיקר הענין מאיזו נקודת מבט מביטים </w:t>
      </w:r>
      <w:r>
        <w:rPr>
          <w:rFonts w:cs="David" w:hint="cs"/>
          <w:sz w:val="24"/>
          <w:szCs w:val="24"/>
          <w:rtl/>
        </w:rPr>
        <w:t xml:space="preserve">אנו </w:t>
      </w:r>
      <w:r w:rsidRPr="009567E9">
        <w:rPr>
          <w:rFonts w:cs="David" w:hint="cs"/>
          <w:sz w:val="24"/>
          <w:szCs w:val="24"/>
          <w:rtl/>
        </w:rPr>
        <w:t xml:space="preserve">על חיינו. בפרשתנו התורה נותנת לנו את האפשרות לבחור בין הברכה לבין הקללה. ופותחת במילה </w:t>
      </w:r>
      <w:r w:rsidRPr="009567E9">
        <w:rPr>
          <w:rFonts w:cs="David" w:hint="cs"/>
          <w:b/>
          <w:bCs/>
          <w:sz w:val="24"/>
          <w:szCs w:val="24"/>
          <w:rtl/>
        </w:rPr>
        <w:t>'ראה'</w:t>
      </w:r>
      <w:r w:rsidRPr="009567E9">
        <w:rPr>
          <w:rFonts w:cs="David" w:hint="cs"/>
          <w:sz w:val="24"/>
          <w:szCs w:val="24"/>
          <w:rtl/>
        </w:rPr>
        <w:t xml:space="preserve"> ו</w:t>
      </w:r>
      <w:r w:rsidRPr="009567E9">
        <w:rPr>
          <w:rFonts w:cs="David"/>
          <w:sz w:val="24"/>
          <w:szCs w:val="24"/>
          <w:rtl/>
        </w:rPr>
        <w:t>לא כתב</w:t>
      </w:r>
      <w:r w:rsidRPr="009567E9">
        <w:rPr>
          <w:rFonts w:cs="David" w:hint="cs"/>
          <w:sz w:val="24"/>
          <w:szCs w:val="24"/>
          <w:rtl/>
        </w:rPr>
        <w:t>ה</w:t>
      </w:r>
      <w:r w:rsidRPr="009567E9">
        <w:rPr>
          <w:rFonts w:cs="David"/>
          <w:sz w:val="24"/>
          <w:szCs w:val="24"/>
          <w:rtl/>
        </w:rPr>
        <w:t xml:space="preserve"> </w:t>
      </w:r>
      <w:r w:rsidRPr="009567E9">
        <w:rPr>
          <w:rFonts w:cs="David" w:hint="cs"/>
          <w:sz w:val="24"/>
          <w:szCs w:val="24"/>
          <w:rtl/>
        </w:rPr>
        <w:t>'</w:t>
      </w:r>
      <w:r w:rsidRPr="009567E9">
        <w:rPr>
          <w:rFonts w:cs="David"/>
          <w:sz w:val="24"/>
          <w:szCs w:val="24"/>
          <w:rtl/>
        </w:rPr>
        <w:t xml:space="preserve">הנה אנוכי </w:t>
      </w:r>
      <w:r w:rsidRPr="009567E9">
        <w:rPr>
          <w:rFonts w:cs="David"/>
          <w:b/>
          <w:bCs/>
          <w:sz w:val="24"/>
          <w:szCs w:val="24"/>
          <w:rtl/>
        </w:rPr>
        <w:t>נותן</w:t>
      </w:r>
      <w:r w:rsidRPr="009567E9">
        <w:rPr>
          <w:rFonts w:cs="David" w:hint="cs"/>
          <w:sz w:val="24"/>
          <w:szCs w:val="24"/>
          <w:rtl/>
        </w:rPr>
        <w:t>...'</w:t>
      </w:r>
      <w:r w:rsidRPr="009567E9">
        <w:rPr>
          <w:rFonts w:cs="David"/>
          <w:sz w:val="24"/>
          <w:szCs w:val="24"/>
          <w:rtl/>
        </w:rPr>
        <w:t xml:space="preserve"> אלא </w:t>
      </w:r>
      <w:r w:rsidRPr="009567E9">
        <w:rPr>
          <w:rFonts w:cs="David" w:hint="cs"/>
          <w:sz w:val="24"/>
          <w:szCs w:val="24"/>
          <w:rtl/>
        </w:rPr>
        <w:t>'</w:t>
      </w:r>
      <w:r w:rsidRPr="009567E9">
        <w:rPr>
          <w:rFonts w:cs="David"/>
          <w:b/>
          <w:bCs/>
          <w:sz w:val="24"/>
          <w:szCs w:val="24"/>
          <w:rtl/>
        </w:rPr>
        <w:t>ראה</w:t>
      </w:r>
      <w:r w:rsidRPr="009567E9">
        <w:rPr>
          <w:rFonts w:cs="David" w:hint="cs"/>
          <w:sz w:val="24"/>
          <w:szCs w:val="24"/>
          <w:rtl/>
        </w:rPr>
        <w:t xml:space="preserve"> אנוכי נותן...', </w:t>
      </w:r>
      <w:r w:rsidRPr="009567E9">
        <w:rPr>
          <w:rFonts w:cs="David"/>
          <w:sz w:val="24"/>
          <w:szCs w:val="24"/>
          <w:rtl/>
        </w:rPr>
        <w:t xml:space="preserve">ללמדנו את </w:t>
      </w:r>
      <w:r w:rsidRPr="009567E9">
        <w:rPr>
          <w:rFonts w:cs="David" w:hint="cs"/>
          <w:sz w:val="24"/>
          <w:szCs w:val="24"/>
          <w:rtl/>
        </w:rPr>
        <w:t>כח</w:t>
      </w:r>
      <w:r w:rsidRPr="009567E9">
        <w:rPr>
          <w:rFonts w:cs="David"/>
          <w:sz w:val="24"/>
          <w:szCs w:val="24"/>
          <w:rtl/>
        </w:rPr>
        <w:t xml:space="preserve"> הראיה, </w:t>
      </w:r>
      <w:r w:rsidRPr="009567E9">
        <w:rPr>
          <w:rFonts w:cs="David" w:hint="cs"/>
          <w:sz w:val="24"/>
          <w:szCs w:val="24"/>
          <w:rtl/>
        </w:rPr>
        <w:t xml:space="preserve">לראות ברכה או לראות קללה, זה עניין סובייקטיבי, יש שבאותו דבר אדם אחד יראה ברכה והשני קללה. במה תלויה ההבחנה הזו? בעומק המבט האמוני, בהסתכלות למרחוק, לא ראייה מצומצמת-עכשווית, אלא ראייה לטווח ארוך. </w:t>
      </w:r>
      <w:r w:rsidRPr="009567E9">
        <w:rPr>
          <w:rFonts w:cs="David"/>
          <w:sz w:val="24"/>
          <w:szCs w:val="24"/>
          <w:rtl/>
        </w:rPr>
        <w:t>הברכה והקללה תלויים ב</w:t>
      </w:r>
      <w:r w:rsidRPr="009567E9">
        <w:rPr>
          <w:rFonts w:cs="David" w:hint="cs"/>
          <w:sz w:val="24"/>
          <w:szCs w:val="24"/>
          <w:rtl/>
        </w:rPr>
        <w:t>'</w:t>
      </w:r>
      <w:r w:rsidRPr="009567E9">
        <w:rPr>
          <w:rFonts w:cs="David"/>
          <w:sz w:val="24"/>
          <w:szCs w:val="24"/>
          <w:rtl/>
        </w:rPr>
        <w:t>ראה</w:t>
      </w:r>
      <w:r w:rsidRPr="009567E9">
        <w:rPr>
          <w:rFonts w:cs="David" w:hint="cs"/>
          <w:sz w:val="24"/>
          <w:szCs w:val="24"/>
          <w:rtl/>
        </w:rPr>
        <w:t>'</w:t>
      </w:r>
      <w:r w:rsidRPr="009567E9">
        <w:rPr>
          <w:rFonts w:cs="David"/>
          <w:sz w:val="24"/>
          <w:szCs w:val="24"/>
          <w:rtl/>
        </w:rPr>
        <w:t xml:space="preserve"> של האדם, יש אדם שיש לו שפע רב אך תמיד </w:t>
      </w:r>
      <w:r>
        <w:rPr>
          <w:rFonts w:cs="David" w:hint="cs"/>
          <w:sz w:val="24"/>
          <w:szCs w:val="24"/>
          <w:rtl/>
        </w:rPr>
        <w:t>רואה</w:t>
      </w:r>
      <w:r w:rsidRPr="009567E9">
        <w:rPr>
          <w:rFonts w:cs="David" w:hint="cs"/>
          <w:sz w:val="24"/>
          <w:szCs w:val="24"/>
          <w:rtl/>
        </w:rPr>
        <w:t xml:space="preserve"> </w:t>
      </w:r>
      <w:r w:rsidRPr="009567E9">
        <w:rPr>
          <w:rFonts w:cs="David"/>
          <w:sz w:val="24"/>
          <w:szCs w:val="24"/>
          <w:rtl/>
        </w:rPr>
        <w:t>מצוקה</w:t>
      </w:r>
      <w:r w:rsidRPr="009567E9">
        <w:rPr>
          <w:rFonts w:cs="David" w:hint="cs"/>
          <w:sz w:val="24"/>
          <w:szCs w:val="24"/>
          <w:rtl/>
        </w:rPr>
        <w:t xml:space="preserve"> ועצב</w:t>
      </w:r>
      <w:r>
        <w:rPr>
          <w:rFonts w:cs="David" w:hint="cs"/>
          <w:sz w:val="24"/>
          <w:szCs w:val="24"/>
          <w:rtl/>
        </w:rPr>
        <w:t>-</w:t>
      </w:r>
      <w:r w:rsidRPr="009567E9">
        <w:rPr>
          <w:rFonts w:cs="David"/>
          <w:sz w:val="24"/>
          <w:szCs w:val="24"/>
          <w:rtl/>
        </w:rPr>
        <w:t xml:space="preserve"> האם זו ברכה? ויש אדם ש</w:t>
      </w:r>
      <w:r w:rsidRPr="009567E9">
        <w:rPr>
          <w:rFonts w:cs="David" w:hint="cs"/>
          <w:sz w:val="24"/>
          <w:szCs w:val="24"/>
          <w:rtl/>
        </w:rPr>
        <w:t>יש</w:t>
      </w:r>
      <w:r w:rsidRPr="009567E9">
        <w:rPr>
          <w:rFonts w:cs="David"/>
          <w:sz w:val="24"/>
          <w:szCs w:val="24"/>
          <w:rtl/>
        </w:rPr>
        <w:t xml:space="preserve"> לו </w:t>
      </w:r>
      <w:r w:rsidRPr="009567E9">
        <w:rPr>
          <w:rFonts w:cs="David" w:hint="cs"/>
          <w:sz w:val="24"/>
          <w:szCs w:val="24"/>
          <w:rtl/>
        </w:rPr>
        <w:t xml:space="preserve">בצמצום </w:t>
      </w:r>
      <w:r w:rsidRPr="009567E9">
        <w:rPr>
          <w:rFonts w:cs="David"/>
          <w:sz w:val="24"/>
          <w:szCs w:val="24"/>
          <w:rtl/>
        </w:rPr>
        <w:t xml:space="preserve">אך </w:t>
      </w:r>
      <w:r w:rsidRPr="009567E9">
        <w:rPr>
          <w:rFonts w:cs="David" w:hint="cs"/>
          <w:sz w:val="24"/>
          <w:szCs w:val="24"/>
          <w:rtl/>
        </w:rPr>
        <w:t>רואה חיוב ו</w:t>
      </w:r>
      <w:r>
        <w:rPr>
          <w:rFonts w:cs="David"/>
          <w:sz w:val="24"/>
          <w:szCs w:val="24"/>
          <w:rtl/>
        </w:rPr>
        <w:t>שמחה</w:t>
      </w:r>
      <w:r>
        <w:rPr>
          <w:rFonts w:cs="David" w:hint="cs"/>
          <w:sz w:val="24"/>
          <w:szCs w:val="24"/>
          <w:rtl/>
        </w:rPr>
        <w:t>-</w:t>
      </w:r>
      <w:r w:rsidRPr="009567E9">
        <w:rPr>
          <w:rFonts w:cs="David"/>
          <w:sz w:val="24"/>
          <w:szCs w:val="24"/>
          <w:rtl/>
        </w:rPr>
        <w:t xml:space="preserve"> האם זו קללה?</w:t>
      </w:r>
    </w:p>
    <w:p w:rsidR="00BA66CD" w:rsidRPr="009567E9" w:rsidRDefault="00BA66CD" w:rsidP="00BA66CD">
      <w:pPr>
        <w:jc w:val="both"/>
        <w:rPr>
          <w:rFonts w:cs="David"/>
          <w:sz w:val="24"/>
          <w:szCs w:val="24"/>
          <w:rtl/>
        </w:rPr>
      </w:pPr>
      <w:r w:rsidRPr="009567E9">
        <w:rPr>
          <w:rFonts w:cs="David"/>
          <w:sz w:val="24"/>
          <w:szCs w:val="24"/>
          <w:rtl/>
        </w:rPr>
        <w:t xml:space="preserve">דוגמא </w:t>
      </w:r>
      <w:r w:rsidRPr="009567E9">
        <w:rPr>
          <w:rFonts w:cs="David" w:hint="cs"/>
          <w:sz w:val="24"/>
          <w:szCs w:val="24"/>
          <w:rtl/>
        </w:rPr>
        <w:t xml:space="preserve">לכך </w:t>
      </w:r>
      <w:r w:rsidRPr="009567E9">
        <w:rPr>
          <w:rFonts w:cs="David"/>
          <w:sz w:val="24"/>
          <w:szCs w:val="24"/>
          <w:rtl/>
        </w:rPr>
        <w:t>מהפטרת השבוע</w:t>
      </w:r>
      <w:r>
        <w:rPr>
          <w:rFonts w:cs="David" w:hint="cs"/>
          <w:sz w:val="24"/>
          <w:szCs w:val="24"/>
          <w:rtl/>
        </w:rPr>
        <w:t>,</w:t>
      </w:r>
      <w:r w:rsidRPr="009567E9">
        <w:rPr>
          <w:rFonts w:cs="David" w:hint="cs"/>
          <w:sz w:val="24"/>
          <w:szCs w:val="24"/>
          <w:rtl/>
        </w:rPr>
        <w:t xml:space="preserve"> הנביא ישעיהו מנבא לנו שלעתיד לבוא </w:t>
      </w:r>
      <w:r w:rsidRPr="009567E9">
        <w:rPr>
          <w:rFonts w:cs="David"/>
          <w:sz w:val="24"/>
          <w:szCs w:val="24"/>
          <w:rtl/>
        </w:rPr>
        <w:t>אבני וחלונות ירושלים יהיו מאבנים טובות ומרגליות</w:t>
      </w:r>
      <w:r w:rsidRPr="009567E9">
        <w:rPr>
          <w:rFonts w:cs="David" w:hint="cs"/>
          <w:sz w:val="24"/>
          <w:szCs w:val="24"/>
          <w:rtl/>
        </w:rPr>
        <w:t>: '</w:t>
      </w:r>
      <w:r w:rsidRPr="009567E9">
        <w:rPr>
          <w:rFonts w:cs="David"/>
          <w:sz w:val="24"/>
          <w:szCs w:val="24"/>
          <w:rtl/>
        </w:rPr>
        <w:t>עניה סוערה לא נוחמה</w:t>
      </w:r>
      <w:r w:rsidRPr="009567E9">
        <w:rPr>
          <w:rFonts w:cs="David" w:hint="cs"/>
          <w:sz w:val="24"/>
          <w:szCs w:val="24"/>
          <w:rtl/>
        </w:rPr>
        <w:t xml:space="preserve">... </w:t>
      </w:r>
      <w:r w:rsidRPr="009567E9">
        <w:rPr>
          <w:rFonts w:cs="David"/>
          <w:sz w:val="24"/>
          <w:szCs w:val="24"/>
          <w:rtl/>
        </w:rPr>
        <w:t>ושמתי כדכד שמשותייך ושעריך כאבני אקדח וכל גבולך לאבני חפץ</w:t>
      </w:r>
      <w:r w:rsidRPr="009567E9">
        <w:rPr>
          <w:rFonts w:cs="David" w:hint="cs"/>
          <w:sz w:val="24"/>
          <w:szCs w:val="24"/>
          <w:rtl/>
        </w:rPr>
        <w:t xml:space="preserve">', </w:t>
      </w:r>
      <w:r w:rsidRPr="009567E9">
        <w:rPr>
          <w:rFonts w:cs="David"/>
          <w:sz w:val="24"/>
          <w:szCs w:val="24"/>
          <w:rtl/>
        </w:rPr>
        <w:t xml:space="preserve">שואל הרב זוין </w:t>
      </w:r>
      <w:r w:rsidRPr="009567E9">
        <w:rPr>
          <w:rFonts w:cs="David" w:hint="cs"/>
          <w:sz w:val="24"/>
          <w:szCs w:val="24"/>
          <w:rtl/>
        </w:rPr>
        <w:t xml:space="preserve">זצ"ל </w:t>
      </w:r>
      <w:r w:rsidRPr="009567E9">
        <w:rPr>
          <w:rFonts w:cs="David"/>
          <w:sz w:val="24"/>
          <w:szCs w:val="24"/>
          <w:rtl/>
        </w:rPr>
        <w:t xml:space="preserve">הרי החזון הגדול לאחרית הימים הוא </w:t>
      </w:r>
      <w:r w:rsidRPr="009567E9">
        <w:rPr>
          <w:rFonts w:cs="David" w:hint="cs"/>
          <w:sz w:val="24"/>
          <w:szCs w:val="24"/>
          <w:rtl/>
        </w:rPr>
        <w:t xml:space="preserve">רוחני </w:t>
      </w:r>
      <w:r w:rsidRPr="009567E9">
        <w:rPr>
          <w:rFonts w:cs="David"/>
          <w:sz w:val="24"/>
          <w:szCs w:val="24"/>
          <w:rtl/>
        </w:rPr>
        <w:t xml:space="preserve">ולא חזון של גשמי? </w:t>
      </w:r>
      <w:r w:rsidRPr="009567E9">
        <w:rPr>
          <w:rFonts w:cs="David" w:hint="cs"/>
          <w:sz w:val="24"/>
          <w:szCs w:val="24"/>
          <w:rtl/>
        </w:rPr>
        <w:t>ועונה</w:t>
      </w:r>
      <w:r w:rsidRPr="009567E9">
        <w:rPr>
          <w:rFonts w:cs="David"/>
          <w:sz w:val="24"/>
          <w:szCs w:val="24"/>
          <w:rtl/>
        </w:rPr>
        <w:t xml:space="preserve"> </w:t>
      </w:r>
      <w:r w:rsidRPr="009567E9">
        <w:rPr>
          <w:rFonts w:cs="David" w:hint="cs"/>
          <w:sz w:val="24"/>
          <w:szCs w:val="24"/>
          <w:rtl/>
        </w:rPr>
        <w:t>ש</w:t>
      </w:r>
      <w:r w:rsidRPr="009567E9">
        <w:rPr>
          <w:rFonts w:cs="David"/>
          <w:sz w:val="24"/>
          <w:szCs w:val="24"/>
          <w:rtl/>
        </w:rPr>
        <w:t xml:space="preserve">לעתיד לבוא נגיע ל לראייה </w:t>
      </w:r>
      <w:r w:rsidRPr="009567E9">
        <w:rPr>
          <w:rFonts w:cs="David" w:hint="cs"/>
          <w:sz w:val="24"/>
          <w:szCs w:val="24"/>
          <w:rtl/>
        </w:rPr>
        <w:t>רוחנית</w:t>
      </w:r>
      <w:r>
        <w:rPr>
          <w:rFonts w:cs="David"/>
          <w:sz w:val="24"/>
          <w:szCs w:val="24"/>
          <w:rtl/>
        </w:rPr>
        <w:t xml:space="preserve"> גם </w:t>
      </w:r>
      <w:r>
        <w:rPr>
          <w:rFonts w:cs="David" w:hint="cs"/>
          <w:sz w:val="24"/>
          <w:szCs w:val="24"/>
          <w:rtl/>
        </w:rPr>
        <w:t>על ה</w:t>
      </w:r>
      <w:r w:rsidRPr="009567E9">
        <w:rPr>
          <w:rFonts w:cs="David" w:hint="cs"/>
          <w:sz w:val="24"/>
          <w:szCs w:val="24"/>
          <w:rtl/>
        </w:rPr>
        <w:t xml:space="preserve">אבנים </w:t>
      </w:r>
      <w:r>
        <w:rPr>
          <w:rFonts w:cs="David" w:hint="cs"/>
          <w:sz w:val="24"/>
          <w:szCs w:val="24"/>
          <w:rtl/>
        </w:rPr>
        <w:t>ה</w:t>
      </w:r>
      <w:r w:rsidRPr="009567E9">
        <w:rPr>
          <w:rFonts w:cs="David" w:hint="cs"/>
          <w:sz w:val="24"/>
          <w:szCs w:val="24"/>
          <w:rtl/>
        </w:rPr>
        <w:t>טובות ו</w:t>
      </w:r>
      <w:r>
        <w:rPr>
          <w:rFonts w:cs="David" w:hint="cs"/>
          <w:sz w:val="24"/>
          <w:szCs w:val="24"/>
          <w:rtl/>
        </w:rPr>
        <w:t>ה</w:t>
      </w:r>
      <w:r w:rsidRPr="009567E9">
        <w:rPr>
          <w:rFonts w:cs="David" w:hint="cs"/>
          <w:sz w:val="24"/>
          <w:szCs w:val="24"/>
          <w:rtl/>
        </w:rPr>
        <w:t>מרגליות</w:t>
      </w:r>
      <w:r w:rsidRPr="009567E9">
        <w:rPr>
          <w:rFonts w:cs="David"/>
          <w:sz w:val="24"/>
          <w:szCs w:val="24"/>
          <w:rtl/>
        </w:rPr>
        <w:t>.</w:t>
      </w:r>
      <w:r w:rsidRPr="009567E9">
        <w:rPr>
          <w:rFonts w:cs="David" w:hint="cs"/>
          <w:sz w:val="24"/>
          <w:szCs w:val="24"/>
          <w:rtl/>
        </w:rPr>
        <w:t xml:space="preserve"> </w:t>
      </w:r>
    </w:p>
    <w:p w:rsidR="00BA66CD" w:rsidRPr="009567E9" w:rsidRDefault="00BA66CD" w:rsidP="00BA66CD">
      <w:pPr>
        <w:jc w:val="both"/>
        <w:rPr>
          <w:rFonts w:cs="David" w:hint="cs"/>
          <w:sz w:val="24"/>
          <w:szCs w:val="24"/>
          <w:rtl/>
        </w:rPr>
      </w:pPr>
      <w:r w:rsidRPr="009567E9">
        <w:rPr>
          <w:rFonts w:cs="David" w:hint="cs"/>
          <w:sz w:val="24"/>
          <w:szCs w:val="24"/>
          <w:rtl/>
        </w:rPr>
        <w:t>זה כוחה של  הראייה שהתורה מציעה לנו בתחילת הפרשה, הברכה והקללה אינם עניין אובייקטיבי אלא 'הכל תלוי בך', 'הכ</w:t>
      </w:r>
      <w:r>
        <w:rPr>
          <w:rFonts w:cs="David" w:hint="cs"/>
          <w:sz w:val="24"/>
          <w:szCs w:val="24"/>
          <w:rtl/>
        </w:rPr>
        <w:t>ל תלוי איך אתה רואה את הדברים</w:t>
      </w:r>
      <w:r w:rsidRPr="009567E9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,</w:t>
      </w:r>
      <w:r w:rsidRPr="009567E9">
        <w:rPr>
          <w:rFonts w:cs="David" w:hint="cs"/>
          <w:sz w:val="24"/>
          <w:szCs w:val="24"/>
          <w:rtl/>
        </w:rPr>
        <w:t xml:space="preserve"> בעצם נקודת הראייה שלך </w:t>
      </w:r>
      <w:r>
        <w:rPr>
          <w:rFonts w:cs="David" w:hint="cs"/>
          <w:sz w:val="24"/>
          <w:szCs w:val="24"/>
          <w:rtl/>
        </w:rPr>
        <w:t>היא זו שתקבע האם הדבר יהיה</w:t>
      </w:r>
      <w:r w:rsidRPr="009567E9">
        <w:rPr>
          <w:rFonts w:cs="David" w:hint="cs"/>
          <w:sz w:val="24"/>
          <w:szCs w:val="24"/>
          <w:rtl/>
        </w:rPr>
        <w:t xml:space="preserve"> ברכה או </w:t>
      </w:r>
      <w:r>
        <w:rPr>
          <w:rFonts w:cs="David" w:hint="cs"/>
          <w:sz w:val="24"/>
          <w:szCs w:val="24"/>
          <w:rtl/>
        </w:rPr>
        <w:t xml:space="preserve">חלילה, </w:t>
      </w:r>
      <w:r w:rsidRPr="009567E9">
        <w:rPr>
          <w:rFonts w:cs="David" w:hint="cs"/>
          <w:sz w:val="24"/>
          <w:szCs w:val="24"/>
          <w:rtl/>
        </w:rPr>
        <w:t>קללה.</w:t>
      </w:r>
      <w:r w:rsidRPr="009567E9">
        <w:rPr>
          <w:rFonts w:cs="David"/>
          <w:sz w:val="24"/>
          <w:szCs w:val="24"/>
          <w:rtl/>
        </w:rPr>
        <w:t xml:space="preserve"> </w:t>
      </w:r>
      <w:bookmarkStart w:id="0" w:name="_GoBack"/>
      <w:bookmarkEnd w:id="0"/>
    </w:p>
    <w:sectPr w:rsidR="00BA66CD" w:rsidRPr="009567E9" w:rsidSect="00310A0E">
      <w:pgSz w:w="11906" w:h="16838"/>
      <w:pgMar w:top="426" w:right="1133" w:bottom="426" w:left="1276" w:header="720" w:footer="720" w:gutter="0"/>
      <w:cols w:space="283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3"/>
    <w:rsid w:val="00310A0E"/>
    <w:rsid w:val="00325161"/>
    <w:rsid w:val="004B1CEE"/>
    <w:rsid w:val="004B32F6"/>
    <w:rsid w:val="007667AD"/>
    <w:rsid w:val="00773F63"/>
    <w:rsid w:val="00903CC7"/>
    <w:rsid w:val="009C0CD2"/>
    <w:rsid w:val="00AB537A"/>
    <w:rsid w:val="00B50DCA"/>
    <w:rsid w:val="00B73136"/>
    <w:rsid w:val="00BA66CD"/>
    <w:rsid w:val="00C63F80"/>
    <w:rsid w:val="00C76E85"/>
    <w:rsid w:val="00ED736F"/>
    <w:rsid w:val="00F35458"/>
    <w:rsid w:val="00F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E64B"/>
  <w15:chartTrackingRefBased/>
  <w15:docId w15:val="{F662B781-19DD-4D83-90D4-F5084FE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0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קדוש</dc:creator>
  <cp:keywords/>
  <dc:description/>
  <cp:lastModifiedBy>קדוש</cp:lastModifiedBy>
  <cp:revision>2</cp:revision>
  <dcterms:created xsi:type="dcterms:W3CDTF">2017-08-16T11:39:00Z</dcterms:created>
  <dcterms:modified xsi:type="dcterms:W3CDTF">2017-08-16T11:39:00Z</dcterms:modified>
</cp:coreProperties>
</file>