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jc w:val="both"/>
        <w:rPr>
          <w:rFonts w:ascii="Times New Roman" w:cs="Times New Roman" w:hAnsi="Times New Roman"/>
          <w:color w:val="00b050"/>
          <w:sz w:val="36"/>
          <w:szCs w:val="36"/>
          <w:u w:val="single"/>
          <w:rtl/>
        </w:rPr>
      </w:pPr>
    </w:p>
    <w:p>
      <w:pPr>
        <w:pStyle w:val="style2"/>
        <w:jc w:val="center"/>
        <w:rPr>
          <w:b/>
          <w:bCs/>
          <w:color w:val="00b050"/>
          <w:sz w:val="22"/>
          <w:szCs w:val="22"/>
          <w:u w:val="single"/>
          <w:rtl/>
        </w:rPr>
      </w:pP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1/19 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u w:val="single"/>
          <w:rtl/>
        </w:rPr>
        <w:t>ישיבת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ועד מקומי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u w:val="single"/>
        </w:rPr>
        <w:t xml:space="preserve">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מ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יום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9.1.19</w:t>
      </w:r>
    </w:p>
    <w:p>
      <w:pPr>
        <w:pStyle w:val="style2"/>
        <w:jc w:val="both"/>
        <w:rPr>
          <w:b/>
          <w:bCs/>
          <w:sz w:val="10"/>
          <w:szCs w:val="10"/>
          <w:rtl/>
        </w:rPr>
      </w:pPr>
    </w:p>
    <w:p>
      <w:pPr>
        <w:pStyle w:val="style0"/>
        <w:spacing w:lineRule="auto" w:line="240"/>
        <w:rPr>
          <w:rFonts w:ascii="Tahoma" w:cs="Tahoma" w:hAnsi="Tahoma"/>
          <w:b/>
          <w:bCs/>
          <w:sz w:val="24"/>
          <w:szCs w:val="24"/>
          <w:u w:val="single"/>
          <w:rtl/>
        </w:rPr>
      </w:pPr>
      <w:r>
        <w:rPr>
          <w:rFonts w:ascii="Tahoma" w:cs="Tahoma" w:hAnsi="Tahoma"/>
          <w:sz w:val="24"/>
          <w:szCs w:val="24"/>
          <w:rtl/>
        </w:rPr>
        <w:t xml:space="preserve">נוכחים: </w:t>
      </w:r>
      <w:r>
        <w:rPr>
          <w:rFonts w:ascii="Tahoma" w:cs="Tahoma" w:hAnsi="Tahoma"/>
          <w:sz w:val="24"/>
          <w:szCs w:val="24"/>
          <w:rtl/>
        </w:rPr>
        <w:t>צור שומן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טובה שביט,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 xml:space="preserve">יוסי ברסקה, יובל פרץ, </w:t>
      </w:r>
      <w:r>
        <w:rPr>
          <w:rFonts w:ascii="Tahoma" w:cs="Tahoma" w:hAnsi="Tahoma"/>
          <w:sz w:val="24"/>
          <w:szCs w:val="24"/>
          <w:rtl/>
        </w:rPr>
        <w:t xml:space="preserve">אלכסנדר חומש 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>דיתי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רויניק</w:t>
      </w:r>
      <w:r>
        <w:rPr>
          <w:rFonts w:ascii="Tahoma" w:cs="Tahoma" w:hAnsi="Tahoma" w:hint="cs"/>
          <w:sz w:val="24"/>
          <w:szCs w:val="24"/>
          <w:rtl/>
        </w:rPr>
        <w:t>.</w:t>
      </w:r>
      <w:r>
        <w:rPr>
          <w:rFonts w:ascii="Tahoma" w:cs="Tahoma" w:hAnsi="Tahoma" w:hint="cs"/>
          <w:sz w:val="24"/>
          <w:szCs w:val="24"/>
          <w:rtl/>
        </w:rPr>
        <w:t xml:space="preserve">    </w:t>
      </w:r>
      <w:r>
        <w:rPr>
          <w:rFonts w:ascii="Tahoma" w:cs="Tahoma" w:hAnsi="Tahoma"/>
          <w:sz w:val="24"/>
          <w:szCs w:val="24"/>
          <w:rtl/>
        </w:rPr>
        <w:br/>
      </w:r>
      <w:r>
        <w:rPr>
          <w:rFonts w:ascii="Tahoma" w:cs="Tahoma" w:hAnsi="Tahoma" w:hint="cs"/>
          <w:sz w:val="24"/>
          <w:szCs w:val="24"/>
          <w:rtl/>
        </w:rPr>
        <w:t>אברהם כץ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אמנון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רקובר</w:t>
      </w:r>
    </w:p>
    <w:p>
      <w:pPr>
        <w:pStyle w:val="style0"/>
        <w:spacing w:lineRule="auto" w:line="240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b/>
          <w:bCs/>
          <w:sz w:val="24"/>
          <w:szCs w:val="24"/>
          <w:u w:val="single"/>
          <w:rtl/>
        </w:rPr>
        <w:t>סדר היום: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א</w:t>
      </w:r>
      <w:r>
        <w:rPr>
          <w:rFonts w:ascii="Tahoma" w:cs="Tahoma" w:hAnsi="Tahoma" w:hint="cs"/>
          <w:sz w:val="24"/>
          <w:szCs w:val="24"/>
          <w:rtl/>
        </w:rPr>
        <w:t>ו</w:t>
      </w:r>
      <w:r>
        <w:rPr>
          <w:rFonts w:ascii="Tahoma" w:cs="Tahoma" w:hAnsi="Tahoma"/>
          <w:sz w:val="24"/>
          <w:szCs w:val="24"/>
          <w:rtl/>
        </w:rPr>
        <w:t xml:space="preserve">שר </w:t>
      </w:r>
      <w:r>
        <w:rPr>
          <w:rFonts w:ascii="Tahoma" w:cs="Tahoma" w:hAnsi="Tahoma"/>
          <w:sz w:val="24"/>
          <w:szCs w:val="24"/>
          <w:rtl/>
        </w:rPr>
        <w:t>פרוטקול</w:t>
      </w:r>
      <w:r>
        <w:rPr>
          <w:rFonts w:ascii="Tahoma" w:cs="Tahoma" w:hAnsi="Tahoma"/>
          <w:sz w:val="24"/>
          <w:szCs w:val="24"/>
          <w:rtl/>
        </w:rPr>
        <w:t xml:space="preserve"> 22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דוח כספי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נסקר המצב הכספי </w:t>
      </w:r>
      <w:r>
        <w:rPr>
          <w:rFonts w:ascii="Tahoma" w:cs="Tahoma" w:hAnsi="Tahoma" w:hint="cs"/>
          <w:sz w:val="24"/>
          <w:szCs w:val="24"/>
          <w:rtl/>
        </w:rPr>
        <w:t>. והי</w:t>
      </w:r>
      <w:r>
        <w:rPr>
          <w:rFonts w:ascii="Tahoma" w:cs="Tahoma" w:hAnsi="Tahoma" w:hint="cs"/>
          <w:sz w:val="24"/>
          <w:szCs w:val="24"/>
          <w:rtl/>
        </w:rPr>
        <w:t>י</w:t>
      </w:r>
      <w:r>
        <w:rPr>
          <w:rFonts w:ascii="Tahoma" w:cs="Tahoma" w:hAnsi="Tahoma" w:hint="cs"/>
          <w:sz w:val="24"/>
          <w:szCs w:val="24"/>
          <w:rtl/>
        </w:rPr>
        <w:t>עול שבוצע בצורת התשלומים הכספיים.</w:t>
      </w:r>
    </w:p>
    <w:p>
      <w:pPr>
        <w:pStyle w:val="style179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מעקב ביצוע החלטות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בוצע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 xml:space="preserve">אגודת החינוך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נסקרה פעולת האגודה ע</w:t>
      </w:r>
      <w:r>
        <w:rPr>
          <w:rFonts w:ascii="Tahoma" w:cs="Tahoma" w:hAnsi="Tahoma" w:hint="cs"/>
          <w:sz w:val="24"/>
          <w:szCs w:val="24"/>
          <w:rtl/>
        </w:rPr>
        <w:t>"</w:t>
      </w:r>
      <w:r>
        <w:rPr>
          <w:rFonts w:ascii="Tahoma" w:cs="Tahoma" w:hAnsi="Tahoma" w:hint="cs"/>
          <w:sz w:val="24"/>
          <w:szCs w:val="24"/>
          <w:rtl/>
        </w:rPr>
        <w:t>י איתי גו</w:t>
      </w:r>
      <w:r>
        <w:rPr>
          <w:rFonts w:ascii="Tahoma" w:cs="Tahoma" w:hAnsi="Tahoma" w:hint="cs"/>
          <w:sz w:val="24"/>
          <w:szCs w:val="24"/>
          <w:rtl/>
        </w:rPr>
        <w:t>ל</w:t>
      </w:r>
      <w:r>
        <w:rPr>
          <w:rFonts w:ascii="Tahoma" w:cs="Tahoma" w:hAnsi="Tahoma" w:hint="cs"/>
          <w:sz w:val="24"/>
          <w:szCs w:val="24"/>
          <w:rtl/>
        </w:rPr>
        <w:t xml:space="preserve">דמן ונדב </w:t>
      </w:r>
      <w:r>
        <w:rPr>
          <w:rFonts w:ascii="Tahoma" w:cs="Tahoma" w:hAnsi="Tahoma" w:hint="cs"/>
          <w:sz w:val="24"/>
          <w:szCs w:val="24"/>
          <w:rtl/>
        </w:rPr>
        <w:t>לורבר</w:t>
      </w:r>
      <w:r>
        <w:rPr>
          <w:rFonts w:ascii="Tahoma" w:cs="Tahoma" w:hAnsi="Tahoma" w:hint="cs"/>
          <w:sz w:val="24"/>
          <w:szCs w:val="24"/>
          <w:rtl/>
        </w:rPr>
        <w:t xml:space="preserve"> .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הועד מברך על הפעילות החשובה התורמת בין היתר ללכידות הקה</w:t>
      </w:r>
      <w:r>
        <w:rPr>
          <w:rFonts w:ascii="Tahoma" w:cs="Tahoma" w:hAnsi="Tahoma" w:hint="cs"/>
          <w:sz w:val="24"/>
          <w:szCs w:val="24"/>
          <w:rtl/>
        </w:rPr>
        <w:t>י</w:t>
      </w:r>
      <w:r>
        <w:rPr>
          <w:rFonts w:ascii="Tahoma" w:cs="Tahoma" w:hAnsi="Tahoma" w:hint="cs"/>
          <w:sz w:val="24"/>
          <w:szCs w:val="24"/>
          <w:rtl/>
        </w:rPr>
        <w:t xml:space="preserve">לה.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הועד המקומי יבדוק אפשרות לסיוע בגינון , ותקציב משימור מבנים.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 xml:space="preserve">כביש פרסה </w:t>
      </w:r>
      <w:r>
        <w:rPr>
          <w:rFonts w:ascii="Tahoma" w:cs="Tahoma" w:hAnsi="Tahoma" w:hint="cs"/>
          <w:sz w:val="24"/>
          <w:szCs w:val="24"/>
          <w:rtl/>
        </w:rPr>
        <w:t xml:space="preserve"> - </w:t>
      </w:r>
      <w:r>
        <w:rPr>
          <w:rFonts w:ascii="Tahoma" w:cs="Tahoma" w:hAnsi="Tahoma"/>
          <w:sz w:val="24"/>
          <w:szCs w:val="24"/>
          <w:rtl/>
        </w:rPr>
        <w:t>פנית ניר גבע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נכתב מכתב למפקח האחראי במועצה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סוכם עם הקבלן -  שיפוץ לאחר הגשמים ולא יאוחר מסוף מרץ.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צומת הפרסה – פניית שלומי ורדי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נסקר תשובת מהנדס המועצה- תיבדק חלופת גדודית פלסטיק. לאור הבדיקה יוחלט איך ומתי לבצע את המלצות המועצה.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 xml:space="preserve">בקשת תרומה </w:t>
      </w:r>
      <w:r>
        <w:rPr>
          <w:rFonts w:ascii="Tahoma" w:cs="Tahoma" w:hAnsi="Tahoma" w:hint="cs"/>
          <w:sz w:val="24"/>
          <w:szCs w:val="24"/>
          <w:rtl/>
        </w:rPr>
        <w:t>לועד</w:t>
      </w:r>
      <w:r>
        <w:rPr>
          <w:rFonts w:ascii="Tahoma" w:cs="Tahoma" w:hAnsi="Tahoma" w:hint="cs"/>
          <w:sz w:val="24"/>
          <w:szCs w:val="24"/>
          <w:rtl/>
        </w:rPr>
        <w:t xml:space="preserve"> הפעולה לעצירת שדה התעופה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הוחלט </w:t>
      </w:r>
      <w:r>
        <w:rPr>
          <w:rFonts w:ascii="Tahoma" w:cs="Tahoma" w:hAnsi="Tahoma" w:hint="cs"/>
          <w:sz w:val="24"/>
          <w:szCs w:val="24"/>
          <w:rtl/>
        </w:rPr>
        <w:t xml:space="preserve">: הועד מתנגד נמרצות להקמת שדה התעופה. חלק מחברי הועד תרמו באופן פרטי לפעילות למניעת הקמתו של שדה התעופה וקורא לתושבים להשיא תרומה פרטית. הוחלט לא לפרוץ את מסגרת התקציב ולא </w:t>
      </w:r>
      <w:r>
        <w:rPr>
          <w:rFonts w:ascii="Tahoma" w:cs="Tahoma" w:hAnsi="Tahoma" w:hint="cs"/>
          <w:sz w:val="24"/>
          <w:szCs w:val="24"/>
          <w:rtl/>
        </w:rPr>
        <w:t>להענות</w:t>
      </w:r>
      <w:r>
        <w:rPr>
          <w:rFonts w:ascii="Tahoma" w:cs="Tahoma" w:hAnsi="Tahoma" w:hint="cs"/>
          <w:sz w:val="24"/>
          <w:szCs w:val="24"/>
          <w:rtl/>
        </w:rPr>
        <w:t xml:space="preserve"> לפניה.</w:t>
      </w:r>
    </w:p>
    <w:p>
      <w:pPr>
        <w:pStyle w:val="style179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תקציב ועדת תרבות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נסקר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 xml:space="preserve"> החריגה הצפויה בסעיף תרבות . הוחלט לקצץ 10 </w:t>
      </w:r>
      <w:r>
        <w:rPr>
          <w:rFonts w:ascii="Tahoma" w:cs="Tahoma" w:hAnsi="Tahoma" w:hint="cs"/>
          <w:sz w:val="24"/>
          <w:szCs w:val="24"/>
          <w:rtl/>
        </w:rPr>
        <w:t>אשח</w:t>
      </w:r>
      <w:r>
        <w:rPr>
          <w:rFonts w:ascii="Tahoma" w:cs="Tahoma" w:hAnsi="Tahoma" w:hint="cs"/>
          <w:sz w:val="24"/>
          <w:szCs w:val="24"/>
          <w:rtl/>
        </w:rPr>
        <w:t xml:space="preserve"> בתקציב תרבות בשנת 2019.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השכרת מועדון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מאושר להשכיר את המועדון להורה / מבוגר למסיבות נוער פרטיות בתשלום ובאחריות ההורה ובכפוף לחוק.</w:t>
      </w:r>
    </w:p>
    <w:p>
      <w:pPr>
        <w:pStyle w:val="style179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איסוף גזם בחורף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הוחלט לפנות את הגזם גם בימי החורף.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תצא הודעה לציבור בבקשה להמעיט </w:t>
      </w:r>
      <w:r>
        <w:rPr>
          <w:rFonts w:ascii="Tahoma" w:cs="Tahoma" w:hAnsi="Tahoma" w:hint="cs"/>
          <w:sz w:val="24"/>
          <w:szCs w:val="24"/>
          <w:rtl/>
        </w:rPr>
        <w:t>בגזם</w:t>
      </w:r>
      <w:r>
        <w:rPr>
          <w:rFonts w:ascii="Tahoma" w:cs="Tahoma" w:hAnsi="Tahoma" w:hint="cs"/>
          <w:sz w:val="24"/>
          <w:szCs w:val="24"/>
          <w:rtl/>
        </w:rPr>
        <w:t xml:space="preserve"> בימי החורף בהם לא ניתן לפנות לאתר הגזם.</w:t>
      </w:r>
    </w:p>
    <w:p>
      <w:pPr>
        <w:pStyle w:val="style0"/>
        <w:spacing w:lineRule="auto" w:line="24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>
        <w:rPr>
          <w:rFonts w:hint="cs"/>
          <w:sz w:val="24"/>
          <w:szCs w:val="24"/>
          <w:rtl/>
        </w:rPr>
        <w:t>צור שומן</w:t>
      </w:r>
    </w:p>
    <w:sectPr>
      <w:headerReference w:type="default" r:id="rId2"/>
      <w:footerReference w:type="default" r:id="rId3"/>
      <w:pgSz w:w="11906" w:h="16838" w:orient="portrait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panose1 w:val="00000000000000000000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0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>
        <w:b/>
        <w:bCs/>
        <w:color w:val="3b4a1e"/>
        <w:rtl/>
      </w:rPr>
    </w:pPr>
    <w:r>
      <w:rPr>
        <w:rFonts w:hint="cs"/>
        <w:b/>
        <w:bCs/>
        <w:color w:val="3b4a1e"/>
        <w:rtl/>
      </w:rPr>
      <w:t>_______________________________________________________________________</w:t>
    </w:r>
  </w:p>
  <w:p>
    <w:pPr>
      <w:pStyle w:val="style32"/>
      <w:rPr>
        <w:b/>
        <w:bCs/>
        <w:color w:val="39471d"/>
        <w:sz w:val="24"/>
        <w:szCs w:val="24"/>
      </w:rPr>
    </w:pPr>
    <w:r>
      <w:rPr>
        <w:rFonts w:hint="cs"/>
        <w:b/>
        <w:bCs/>
        <w:color w:val="4f6228"/>
        <w:rtl/>
      </w:rPr>
      <w:t xml:space="preserve">       </w:t>
    </w:r>
    <w:r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spacing w:after="0" w:lineRule="auto" w:line="240"/>
      <w:rPr>
        <w:rtl/>
      </w:rPr>
    </w:pPr>
    <w:r>
      <w:rPr>
        <w:noProof/>
        <w:lang w:eastAsia="zh-TW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4097" name="Picture 3" descr="Image result for â«×××©× ×××ª ×©×¢×¨××â¬â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 xml:space="preserve">              </w:t>
    </w:r>
    <w:r>
      <w:rPr>
        <w:rFonts w:hint="cs"/>
        <w:noProof/>
        <w:color w:val="00b050"/>
        <w:rtl/>
      </w:rPr>
      <w:t>להפצה לידיעת הציבור</w:t>
    </w:r>
    <w:r>
      <w:rPr>
        <w:rFonts w:hint="cs"/>
        <w:noProof/>
        <w:color w:val="00b050"/>
        <w:rtl/>
      </w:rPr>
      <w:t xml:space="preserve">               </w:t>
    </w:r>
    <w:r>
      <w:rPr>
        <w:rFonts w:hint="cs"/>
        <w:color w:val="00b050"/>
        <w:rtl/>
      </w:rPr>
      <w:t xml:space="preserve">    </w:t>
    </w:r>
  </w:p>
  <w:p>
    <w:pPr>
      <w:pStyle w:val="style0"/>
      <w:spacing w:after="0" w:lineRule="auto" w:line="240"/>
      <w:jc w:val="center"/>
      <w:rPr>
        <w:color w:val="303c18"/>
        <w:sz w:val="40"/>
        <w:szCs w:val="40"/>
      </w:rPr>
    </w:pPr>
    <w:r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0000002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5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bidi="he-I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lang w:val="en-US" w:bidi="he-IL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  <w:spacing w:after="200" w:lineRule="auto" w:line="276"/>
    </w:pPr>
    <w:rPr>
      <w:sz w:val="22"/>
      <w:szCs w:val="22"/>
    </w:rPr>
  </w:style>
  <w:style w:type="paragraph" w:styleId="style1">
    <w:name w:val="heading 1"/>
    <w:basedOn w:val="style0"/>
    <w:next w:val="style0"/>
    <w:link w:val="style4100"/>
    <w:qFormat/>
    <w:pPr>
      <w:keepNext/>
      <w:spacing w:after="0" w:lineRule="auto" w:line="240"/>
      <w:jc w:val="center"/>
      <w:outlineLvl w:val="0"/>
    </w:pPr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paragraph" w:styleId="style2">
    <w:name w:val="heading 2"/>
    <w:basedOn w:val="style0"/>
    <w:next w:val="style0"/>
    <w:link w:val="style4101"/>
    <w:qFormat/>
    <w:pPr>
      <w:keepNext/>
      <w:spacing w:after="0" w:lineRule="auto" w:line="240"/>
      <w:outlineLvl w:val="1"/>
    </w:pPr>
    <w:rPr>
      <w:rFonts w:ascii="Tahoma" w:cs="Tahoma" w:eastAsia="Times New Roman" w:hAnsi="Tahoma"/>
      <w:noProof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טקסט בלונים תו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כותרת עליונה תו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כותרת תחתונה תו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bidi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כותרת 1 תו"/>
    <w:basedOn w:val="style65"/>
    <w:next w:val="style4100"/>
    <w:link w:val="style1"/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character" w:customStyle="1" w:styleId="style4101">
    <w:name w:val="כותרת 2 תו"/>
    <w:basedOn w:val="style65"/>
    <w:next w:val="style4101"/>
    <w:link w:val="style2"/>
    <w:rPr>
      <w:rFonts w:ascii="Tahoma" w:cs="Tahoma" w:eastAsia="Times New Roman" w:hAnsi="Tahoma"/>
      <w:noProof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001B-5336-4854-BD7E-C47948A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236</Words>
  <Characters>1181</Characters>
  <Application>WPS Office</Application>
  <DocSecurity>0</DocSecurity>
  <Paragraphs>39</Paragraphs>
  <ScaleCrop>false</ScaleCrop>
  <LinksUpToDate>false</LinksUpToDate>
  <CharactersWithSpaces>1484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2019-01-10T19:24:36Z</dcterms:created>
  <dc:creator>bb</dc:creator>
  <lastModifiedBy>Redmi 5 Plus</lastModifiedBy>
  <lastPrinted>2018-12-04T10:01:00Z</lastPrinted>
  <dcterms:modified xsi:type="dcterms:W3CDTF">2019-01-10T19:24:36Z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