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1" w:rsidRPr="00555181" w:rsidRDefault="00C94511" w:rsidP="00555181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  <w:r w:rsidRPr="00555181">
        <w:rPr>
          <w:rFonts w:cs="Arial" w:hint="cs"/>
          <w:b/>
          <w:bCs/>
          <w:sz w:val="24"/>
          <w:szCs w:val="24"/>
          <w:u w:val="single"/>
          <w:rtl/>
        </w:rPr>
        <w:t>שלום רב</w:t>
      </w:r>
      <w:r w:rsidR="00F16890" w:rsidRPr="00555181">
        <w:rPr>
          <w:rFonts w:cs="Arial" w:hint="cs"/>
          <w:b/>
          <w:bCs/>
          <w:sz w:val="24"/>
          <w:szCs w:val="24"/>
          <w:u w:val="single"/>
          <w:rtl/>
        </w:rPr>
        <w:t>.</w:t>
      </w:r>
    </w:p>
    <w:p w:rsidR="004E5A4F" w:rsidRPr="004E5A4F" w:rsidRDefault="00F16890" w:rsidP="004E5A4F">
      <w:pPr>
        <w:spacing w:after="0" w:line="240" w:lineRule="auto"/>
        <w:rPr>
          <w:rFonts w:cs="Arial"/>
          <w:sz w:val="24"/>
          <w:szCs w:val="24"/>
          <w:rtl/>
        </w:rPr>
      </w:pPr>
      <w:r w:rsidRPr="00555181">
        <w:rPr>
          <w:rFonts w:cs="Arial"/>
          <w:sz w:val="24"/>
          <w:szCs w:val="24"/>
        </w:rPr>
        <w:br/>
      </w:r>
      <w:r w:rsidR="004E5A4F" w:rsidRPr="004E5A4F">
        <w:rPr>
          <w:rFonts w:cs="Arial" w:hint="cs"/>
          <w:sz w:val="24"/>
          <w:szCs w:val="24"/>
          <w:rtl/>
        </w:rPr>
        <w:t xml:space="preserve">השבוע התבשרנו על פטירתו של </w:t>
      </w:r>
      <w:r w:rsidR="004E5A4F" w:rsidRPr="00BE5222">
        <w:rPr>
          <w:rFonts w:cs="Arial" w:hint="cs"/>
          <w:b/>
          <w:bCs/>
          <w:sz w:val="24"/>
          <w:szCs w:val="24"/>
          <w:rtl/>
        </w:rPr>
        <w:t>יצחק פיטרו ז"ל</w:t>
      </w:r>
      <w:r w:rsidR="004E5A4F">
        <w:rPr>
          <w:rFonts w:cs="Arial" w:hint="cs"/>
          <w:sz w:val="24"/>
          <w:szCs w:val="24"/>
          <w:rtl/>
        </w:rPr>
        <w:t xml:space="preserve">, </w:t>
      </w:r>
      <w:r w:rsidR="004E5A4F" w:rsidRPr="004E5A4F">
        <w:rPr>
          <w:rFonts w:cs="Arial" w:hint="cs"/>
          <w:sz w:val="24"/>
          <w:szCs w:val="24"/>
          <w:rtl/>
        </w:rPr>
        <w:t xml:space="preserve">איש </w:t>
      </w:r>
      <w:r w:rsidR="004E5A4F">
        <w:rPr>
          <w:rFonts w:cs="Arial" w:hint="cs"/>
          <w:sz w:val="24"/>
          <w:szCs w:val="24"/>
          <w:rtl/>
        </w:rPr>
        <w:t>חביב, מוכר ויקר הנמנה על ותיקי המושב, תמצית פרשת 'משפטים</w:t>
      </w:r>
      <w:r w:rsidR="004E5A4F" w:rsidRPr="004E5A4F">
        <w:rPr>
          <w:rFonts w:cs="Arial" w:hint="cs"/>
          <w:sz w:val="24"/>
          <w:szCs w:val="24"/>
          <w:rtl/>
        </w:rPr>
        <w:t>' מוקדשת לזכרו, תנצב"ה !</w:t>
      </w:r>
    </w:p>
    <w:p w:rsidR="00494A66" w:rsidRDefault="00494A66" w:rsidP="00555181">
      <w:pPr>
        <w:spacing w:after="0" w:line="240" w:lineRule="auto"/>
        <w:rPr>
          <w:rFonts w:cs="Arial"/>
          <w:sz w:val="24"/>
          <w:szCs w:val="24"/>
          <w:rtl/>
        </w:rPr>
      </w:pPr>
    </w:p>
    <w:p w:rsidR="00494A66" w:rsidRDefault="00494A66" w:rsidP="004E5A4F">
      <w:pPr>
        <w:bidi w:val="0"/>
        <w:spacing w:after="0" w:line="240" w:lineRule="auto"/>
        <w:jc w:val="right"/>
        <w:rPr>
          <w:rFonts w:asciiTheme="minorBidi" w:hAnsiTheme="minorBidi"/>
          <w:sz w:val="24"/>
          <w:szCs w:val="24"/>
          <w:u w:val="single"/>
          <w:rtl/>
        </w:rPr>
      </w:pPr>
      <w:r w:rsidRPr="00B95B6D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פרשת </w:t>
      </w:r>
      <w:r w:rsidR="004E5A4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'משפטים</w:t>
      </w:r>
      <w:r w:rsidRPr="00B95B6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' 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A6763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ומה עם חוקי חמורבי?</w:t>
      </w:r>
      <w:r w:rsidR="004E5A4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</w:p>
    <w:p w:rsidR="00494A66" w:rsidRDefault="00494A66" w:rsidP="00494A66">
      <w:pPr>
        <w:bidi w:val="0"/>
        <w:spacing w:after="0" w:line="240" w:lineRule="auto"/>
        <w:jc w:val="right"/>
        <w:rPr>
          <w:rFonts w:asciiTheme="minorBidi" w:eastAsia="Calibr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אלי נבון</w:t>
      </w:r>
    </w:p>
    <w:p w:rsidR="00494A66" w:rsidRPr="00105395" w:rsidRDefault="00494A66" w:rsidP="00494A66">
      <w:pPr>
        <w:bidi w:val="0"/>
        <w:spacing w:after="0" w:line="240" w:lineRule="auto"/>
        <w:jc w:val="right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18AF">
        <w:rPr>
          <w:rFonts w:asciiTheme="minorBidi" w:eastAsia="Calibri" w:hAnsiTheme="minorBidi"/>
          <w:sz w:val="24"/>
          <w:szCs w:val="24"/>
        </w:rPr>
        <w:t> </w:t>
      </w:r>
    </w:p>
    <w:p w:rsidR="008515C7" w:rsidRDefault="00EF550A" w:rsidP="008515C7">
      <w:pPr>
        <w:spacing w:after="0" w:line="240" w:lineRule="auto"/>
        <w:rPr>
          <w:rFonts w:asciiTheme="minorBidi" w:eastAsia="Calibri" w:hAnsiTheme="minorBidi" w:hint="cs"/>
          <w:b/>
          <w:bCs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אחרי מעמד הר סיני </w:t>
      </w:r>
      <w:r w:rsidR="00BE5222">
        <w:rPr>
          <w:rFonts w:asciiTheme="minorBidi" w:eastAsia="Calibri" w:hAnsiTheme="minorBidi" w:hint="cs"/>
          <w:sz w:val="24"/>
          <w:szCs w:val="24"/>
          <w:rtl/>
        </w:rPr>
        <w:t xml:space="preserve">עליו קראנו בפרשת 'יתרו', באה </w:t>
      </w:r>
      <w:r w:rsidR="00494A66" w:rsidRPr="000749E5">
        <w:rPr>
          <w:rFonts w:asciiTheme="minorBidi" w:eastAsia="Calibri" w:hAnsiTheme="minorBidi"/>
          <w:sz w:val="24"/>
          <w:szCs w:val="24"/>
          <w:rtl/>
        </w:rPr>
        <w:t xml:space="preserve">פרשת </w:t>
      </w:r>
      <w:r w:rsidR="00494A66">
        <w:rPr>
          <w:rFonts w:asciiTheme="minorBidi" w:eastAsia="Calibri" w:hAnsiTheme="minorBidi" w:hint="cs"/>
          <w:sz w:val="24"/>
          <w:szCs w:val="24"/>
          <w:rtl/>
        </w:rPr>
        <w:t>'</w:t>
      </w:r>
      <w:r w:rsidR="004E5A4F">
        <w:rPr>
          <w:rFonts w:asciiTheme="minorBidi" w:eastAsia="Calibri" w:hAnsiTheme="minorBidi" w:hint="cs"/>
          <w:sz w:val="24"/>
          <w:szCs w:val="24"/>
          <w:rtl/>
        </w:rPr>
        <w:t>משפטים</w:t>
      </w:r>
      <w:r w:rsidR="00494A66">
        <w:rPr>
          <w:rFonts w:asciiTheme="minorBidi" w:eastAsia="Calibri" w:hAnsiTheme="minorBidi" w:hint="cs"/>
          <w:sz w:val="24"/>
          <w:szCs w:val="24"/>
          <w:rtl/>
        </w:rPr>
        <w:t>'</w:t>
      </w:r>
      <w:r w:rsidR="00494A66" w:rsidRPr="000749E5">
        <w:rPr>
          <w:rFonts w:asciiTheme="minorBidi" w:eastAsia="Calibri" w:hAnsiTheme="minorBidi"/>
          <w:sz w:val="24"/>
          <w:szCs w:val="24"/>
        </w:rPr>
        <w:t> </w:t>
      </w:r>
      <w:r w:rsidR="008515C7">
        <w:rPr>
          <w:rFonts w:asciiTheme="minorBidi" w:eastAsia="Calibri" w:hAnsiTheme="minorBidi" w:hint="cs"/>
          <w:sz w:val="24"/>
          <w:szCs w:val="24"/>
          <w:rtl/>
        </w:rPr>
        <w:t xml:space="preserve">הפותחת בציווי האלוהי למשה ככתוב: </w:t>
      </w:r>
      <w:r w:rsidR="008515C7" w:rsidRPr="008515C7">
        <w:rPr>
          <w:rFonts w:asciiTheme="minorBidi" w:eastAsia="Calibri" w:hAnsiTheme="minorBidi" w:hint="cs"/>
          <w:b/>
          <w:bCs/>
          <w:sz w:val="24"/>
          <w:szCs w:val="24"/>
          <w:rtl/>
        </w:rPr>
        <w:t>"</w:t>
      </w:r>
      <w:r w:rsidR="008515C7" w:rsidRPr="008515C7">
        <w:rPr>
          <w:rFonts w:asciiTheme="minorBidi" w:eastAsia="Calibri" w:hAnsiTheme="minorBidi"/>
          <w:b/>
          <w:bCs/>
          <w:sz w:val="24"/>
          <w:szCs w:val="24"/>
          <w:rtl/>
        </w:rPr>
        <w:t>וְאֵלֶּה, הַמִּשְׁפָּטִים, אֲשֶׁר תָּשִׂים, לִפְנֵיהֶם</w:t>
      </w:r>
      <w:r w:rsidR="008515C7" w:rsidRPr="008515C7">
        <w:rPr>
          <w:rFonts w:asciiTheme="minorBidi" w:eastAsia="Calibri" w:hAnsiTheme="minorBidi"/>
          <w:b/>
          <w:bCs/>
          <w:sz w:val="24"/>
          <w:szCs w:val="24"/>
        </w:rPr>
        <w:t>.</w:t>
      </w:r>
      <w:r w:rsidR="008515C7" w:rsidRPr="008515C7">
        <w:rPr>
          <w:rFonts w:asciiTheme="minorBidi" w:eastAsia="Calibri" w:hAnsiTheme="minorBidi" w:hint="cs"/>
          <w:b/>
          <w:bCs/>
          <w:sz w:val="24"/>
          <w:szCs w:val="24"/>
          <w:rtl/>
        </w:rPr>
        <w:t>"</w:t>
      </w:r>
    </w:p>
    <w:p w:rsidR="000C52E6" w:rsidRPr="000C52E6" w:rsidRDefault="000C52E6" w:rsidP="008515C7">
      <w:pPr>
        <w:spacing w:after="0" w:line="240" w:lineRule="auto"/>
        <w:rPr>
          <w:rFonts w:asciiTheme="minorBidi" w:eastAsia="Calibri" w:hAnsiTheme="minorBidi" w:hint="cs"/>
          <w:b/>
          <w:bCs/>
          <w:sz w:val="16"/>
          <w:szCs w:val="16"/>
          <w:rtl/>
        </w:rPr>
      </w:pPr>
    </w:p>
    <w:p w:rsidR="00C427FD" w:rsidRDefault="008515C7" w:rsidP="008515C7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פרשה זו </w:t>
      </w:r>
      <w:r w:rsidR="00C427FD">
        <w:rPr>
          <w:rFonts w:asciiTheme="minorBidi" w:eastAsia="Calibri" w:hAnsiTheme="minorBidi" w:hint="cs"/>
          <w:sz w:val="24"/>
          <w:szCs w:val="24"/>
          <w:rtl/>
        </w:rPr>
        <w:t xml:space="preserve">מפרטת </w:t>
      </w:r>
      <w:r w:rsidR="00EF550A">
        <w:rPr>
          <w:rFonts w:asciiTheme="minorBidi" w:eastAsia="Calibri" w:hAnsiTheme="minorBidi" w:hint="cs"/>
          <w:sz w:val="24"/>
          <w:szCs w:val="24"/>
          <w:rtl/>
        </w:rPr>
        <w:t xml:space="preserve">ומבהירה </w:t>
      </w:r>
      <w:r w:rsidR="00C427FD">
        <w:rPr>
          <w:rFonts w:asciiTheme="minorBidi" w:eastAsia="Calibri" w:hAnsiTheme="minorBidi" w:hint="cs"/>
          <w:sz w:val="24"/>
          <w:szCs w:val="24"/>
          <w:rtl/>
        </w:rPr>
        <w:t>חלק מעשרת הדברות, וב</w:t>
      </w:r>
      <w:r>
        <w:rPr>
          <w:rFonts w:asciiTheme="minorBidi" w:eastAsia="Calibri" w:hAnsiTheme="minorBidi" w:hint="cs"/>
          <w:sz w:val="24"/>
          <w:szCs w:val="24"/>
          <w:rtl/>
          <w:lang w:val="en-GB"/>
        </w:rPr>
        <w:t>סדרה של דינים, מצוות ו</w:t>
      </w:r>
      <w:r w:rsidR="00BE5222">
        <w:rPr>
          <w:rFonts w:asciiTheme="minorBidi" w:eastAsia="Calibri" w:hAnsiTheme="minorBidi" w:hint="cs"/>
          <w:sz w:val="24"/>
          <w:szCs w:val="24"/>
          <w:rtl/>
          <w:lang w:val="en-GB"/>
        </w:rPr>
        <w:t>חוקים</w:t>
      </w:r>
      <w:r>
        <w:rPr>
          <w:rFonts w:asciiTheme="minorBidi" w:eastAsia="Calibri" w:hAnsiTheme="minorBidi" w:hint="cs"/>
          <w:sz w:val="24"/>
          <w:szCs w:val="24"/>
          <w:rtl/>
          <w:lang w:val="en-GB"/>
        </w:rPr>
        <w:t>,</w:t>
      </w:r>
      <w:r w:rsidR="00BE5222"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 </w:t>
      </w:r>
      <w:r w:rsidR="00C427FD"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מגדירה </w:t>
      </w:r>
      <w:r w:rsidR="000C52E6"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בראש ובראשונה, </w:t>
      </w:r>
      <w:r w:rsidR="00C427FD">
        <w:rPr>
          <w:rFonts w:asciiTheme="minorBidi" w:eastAsia="Calibri" w:hAnsiTheme="minorBidi" w:hint="cs"/>
          <w:sz w:val="24"/>
          <w:szCs w:val="24"/>
          <w:rtl/>
          <w:lang w:val="en-GB"/>
        </w:rPr>
        <w:t>את אופן ההתנהלות שבין אדם ל</w:t>
      </w:r>
      <w:r w:rsidR="000C52E6">
        <w:rPr>
          <w:rFonts w:asciiTheme="minorBidi" w:eastAsia="Calibri" w:hAnsiTheme="minorBidi" w:hint="cs"/>
          <w:sz w:val="24"/>
          <w:szCs w:val="24"/>
          <w:rtl/>
          <w:lang w:val="en-GB"/>
        </w:rPr>
        <w:t>חברו ובין היחיד לחברה בה הוא חי ובהמשך ועל קצה המזלג את אופ</w:t>
      </w:r>
      <w:r w:rsidR="00EF550A"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ן התנהלות שבין האדם </w:t>
      </w:r>
      <w:r w:rsidR="000C52E6">
        <w:rPr>
          <w:rFonts w:asciiTheme="minorBidi" w:eastAsia="Calibri" w:hAnsiTheme="minorBidi" w:hint="cs"/>
          <w:sz w:val="24"/>
          <w:szCs w:val="24"/>
          <w:rtl/>
          <w:lang w:val="en-GB"/>
        </w:rPr>
        <w:t>לאלוהיו.</w:t>
      </w:r>
    </w:p>
    <w:p w:rsidR="00DF542B" w:rsidRPr="00EF550A" w:rsidRDefault="00DF542B" w:rsidP="008515C7">
      <w:pPr>
        <w:spacing w:after="0" w:line="240" w:lineRule="auto"/>
        <w:rPr>
          <w:rFonts w:asciiTheme="minorBidi" w:eastAsia="Calibri" w:hAnsiTheme="minorBidi" w:hint="cs"/>
          <w:sz w:val="16"/>
          <w:szCs w:val="16"/>
          <w:rtl/>
          <w:lang w:val="en-GB"/>
        </w:rPr>
      </w:pPr>
    </w:p>
    <w:p w:rsidR="00B729BE" w:rsidRDefault="00B729BE" w:rsidP="00755F14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עם קריאת הפרשה נשאלת השאלה, למה </w:t>
      </w:r>
      <w:r w:rsidR="00755F14">
        <w:rPr>
          <w:rFonts w:asciiTheme="minorBidi" w:eastAsia="Calibri" w:hAnsiTheme="minorBidi" w:hint="cs"/>
          <w:sz w:val="24"/>
          <w:szCs w:val="24"/>
          <w:rtl/>
          <w:lang w:val="en-GB"/>
        </w:rPr>
        <w:t>הפרשה נפתחת דווקא בדיני עבדות ו</w:t>
      </w:r>
      <w:r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למה </w:t>
      </w:r>
      <w:r w:rsidR="00755F14">
        <w:rPr>
          <w:rFonts w:asciiTheme="minorBidi" w:eastAsia="Calibri" w:hAnsiTheme="minorBidi" w:hint="cs"/>
          <w:sz w:val="24"/>
          <w:szCs w:val="24"/>
          <w:rtl/>
          <w:lang w:val="en-GB"/>
        </w:rPr>
        <w:t>גם ההפטרה (</w:t>
      </w:r>
      <w:r w:rsidR="00755F14" w:rsidRPr="00755F14">
        <w:rPr>
          <w:rFonts w:asciiTheme="minorBidi" w:eastAsia="Calibri" w:hAnsiTheme="minorBidi"/>
          <w:sz w:val="24"/>
          <w:szCs w:val="24"/>
          <w:rtl/>
          <w:lang w:val="en-GB"/>
        </w:rPr>
        <w:t>ירמיהו פרק ל</w:t>
      </w:r>
      <w:r w:rsidR="00755F14">
        <w:rPr>
          <w:rFonts w:asciiTheme="minorBidi" w:eastAsia="Calibri" w:hAnsiTheme="minorBidi" w:hint="cs"/>
          <w:sz w:val="24"/>
          <w:szCs w:val="24"/>
          <w:rtl/>
          <w:lang w:val="en-GB"/>
        </w:rPr>
        <w:t>"</w:t>
      </w:r>
      <w:r w:rsidR="00755F14" w:rsidRPr="00755F14">
        <w:rPr>
          <w:rFonts w:asciiTheme="minorBidi" w:eastAsia="Calibri" w:hAnsiTheme="minorBidi"/>
          <w:sz w:val="24"/>
          <w:szCs w:val="24"/>
          <w:rtl/>
          <w:lang w:val="en-GB"/>
        </w:rPr>
        <w:t>ד</w:t>
      </w:r>
      <w:r w:rsidR="00755F14">
        <w:rPr>
          <w:rFonts w:asciiTheme="minorBidi" w:eastAsia="Calibri" w:hAnsiTheme="minorBidi" w:hint="cs"/>
          <w:sz w:val="24"/>
          <w:szCs w:val="24"/>
          <w:rtl/>
          <w:lang w:val="en-GB"/>
        </w:rPr>
        <w:t>), עוסקת בדיני עבדות</w:t>
      </w:r>
      <w:r>
        <w:rPr>
          <w:rFonts w:asciiTheme="minorBidi" w:eastAsia="Calibri" w:hAnsiTheme="minorBidi" w:hint="cs"/>
          <w:sz w:val="24"/>
          <w:szCs w:val="24"/>
          <w:rtl/>
          <w:lang w:val="en-GB"/>
        </w:rPr>
        <w:t>?</w:t>
      </w:r>
    </w:p>
    <w:p w:rsidR="00F13250" w:rsidRPr="00EF550A" w:rsidRDefault="00F13250" w:rsidP="00693271">
      <w:pPr>
        <w:spacing w:after="0" w:line="240" w:lineRule="auto"/>
        <w:rPr>
          <w:rFonts w:asciiTheme="minorBidi" w:eastAsia="Calibri" w:hAnsiTheme="minorBidi" w:hint="cs"/>
          <w:sz w:val="16"/>
          <w:szCs w:val="16"/>
          <w:rtl/>
          <w:lang w:val="en-GB"/>
        </w:rPr>
      </w:pPr>
    </w:p>
    <w:p w:rsidR="00EF550A" w:rsidRPr="00AE3403" w:rsidRDefault="00755F14" w:rsidP="00693271">
      <w:pPr>
        <w:spacing w:after="0" w:line="240" w:lineRule="auto"/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</w:pPr>
      <w:r>
        <w:rPr>
          <w:rFonts w:asciiTheme="minorBidi" w:eastAsia="Calibri" w:hAnsiTheme="minorBidi" w:hint="cs"/>
          <w:sz w:val="24"/>
          <w:szCs w:val="24"/>
          <w:rtl/>
          <w:lang w:val="en-GB"/>
        </w:rPr>
        <w:t>חכמי ישראל התייחסו לכך</w:t>
      </w:r>
      <w:r w:rsidR="00B729BE"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 ו</w:t>
      </w:r>
      <w:r w:rsidR="00F13250">
        <w:rPr>
          <w:rFonts w:asciiTheme="minorBidi" w:eastAsia="Calibri" w:hAnsiTheme="minorBidi" w:hint="cs"/>
          <w:sz w:val="24"/>
          <w:szCs w:val="24"/>
          <w:rtl/>
          <w:lang w:val="en-GB"/>
        </w:rPr>
        <w:t>נתנו לכך הסבר יפה ה</w:t>
      </w:r>
      <w:r w:rsidR="00B729BE">
        <w:rPr>
          <w:rFonts w:asciiTheme="minorBidi" w:eastAsia="Calibri" w:hAnsiTheme="minorBidi" w:hint="cs"/>
          <w:sz w:val="24"/>
          <w:szCs w:val="24"/>
          <w:rtl/>
          <w:lang w:val="en-GB"/>
        </w:rPr>
        <w:t>תקף לעד</w:t>
      </w:r>
      <w:r w:rsidR="00F13250">
        <w:rPr>
          <w:rFonts w:asciiTheme="minorBidi" w:eastAsia="Calibri" w:hAnsiTheme="minorBidi" w:hint="cs"/>
          <w:sz w:val="24"/>
          <w:szCs w:val="24"/>
          <w:rtl/>
          <w:lang w:val="en-GB"/>
        </w:rPr>
        <w:t>,</w:t>
      </w:r>
      <w:r w:rsidR="00693271"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 וממנו עולה כי </w:t>
      </w:r>
      <w:r w:rsidR="00693271" w:rsidRPr="00AE3403">
        <w:rPr>
          <w:rFonts w:asciiTheme="minorBidi" w:eastAsia="Calibri" w:hAnsiTheme="minorBidi"/>
          <w:b/>
          <w:bCs/>
          <w:sz w:val="24"/>
          <w:szCs w:val="24"/>
          <w:rtl/>
          <w:lang w:val="en-GB"/>
        </w:rPr>
        <w:t>חירות האדם מעול העבדות</w:t>
      </w:r>
      <w:r w:rsidR="00F13250" w:rsidRPr="00AE3403"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  <w:t>,</w:t>
      </w:r>
      <w:r w:rsidR="00693271" w:rsidRPr="00AE3403">
        <w:rPr>
          <w:rFonts w:asciiTheme="minorBidi" w:eastAsia="Calibri" w:hAnsiTheme="minorBidi"/>
          <w:b/>
          <w:bCs/>
          <w:sz w:val="24"/>
          <w:szCs w:val="24"/>
          <w:rtl/>
          <w:lang w:val="en-GB"/>
        </w:rPr>
        <w:t xml:space="preserve"> היא תנאי </w:t>
      </w:r>
      <w:r w:rsidR="00AE3403"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  <w:t xml:space="preserve">בסיסי </w:t>
      </w:r>
      <w:bookmarkStart w:id="0" w:name="_GoBack"/>
      <w:bookmarkEnd w:id="0"/>
      <w:r w:rsidR="00693271" w:rsidRPr="00AE3403">
        <w:rPr>
          <w:rFonts w:asciiTheme="minorBidi" w:eastAsia="Calibri" w:hAnsiTheme="minorBidi"/>
          <w:b/>
          <w:bCs/>
          <w:sz w:val="24"/>
          <w:szCs w:val="24"/>
          <w:rtl/>
          <w:lang w:val="en-GB"/>
        </w:rPr>
        <w:t>לקיו</w:t>
      </w:r>
      <w:r w:rsidR="00693271" w:rsidRPr="00AE3403"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  <w:t>מו של קשר משמעותי בין האדם לאלוהיו</w:t>
      </w:r>
      <w:r w:rsidR="00EF550A" w:rsidRPr="00AE3403"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  <w:t xml:space="preserve"> !</w:t>
      </w:r>
    </w:p>
    <w:p w:rsidR="00B729BE" w:rsidRPr="00EF550A" w:rsidRDefault="00F13250" w:rsidP="00EF550A">
      <w:pPr>
        <w:spacing w:after="0" w:line="240" w:lineRule="auto"/>
        <w:rPr>
          <w:rFonts w:asciiTheme="minorBidi" w:eastAsia="Calibri" w:hAnsiTheme="minorBidi" w:hint="cs"/>
          <w:sz w:val="16"/>
          <w:szCs w:val="16"/>
          <w:rtl/>
          <w:lang w:val="en-GB"/>
        </w:rPr>
      </w:pPr>
      <w:r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 </w:t>
      </w:r>
    </w:p>
    <w:p w:rsidR="00EF550A" w:rsidRDefault="00EF550A" w:rsidP="008515C7">
      <w:pPr>
        <w:spacing w:after="0" w:line="240" w:lineRule="auto"/>
        <w:rPr>
          <w:rFonts w:asciiTheme="minorBidi" w:eastAsia="Calibri" w:hAnsiTheme="minorBidi" w:cs="Arial" w:hint="cs"/>
          <w:sz w:val="24"/>
          <w:szCs w:val="24"/>
          <w:rtl/>
          <w:lang w:val="en-GB"/>
        </w:rPr>
      </w:pP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>ובאשר ל</w:t>
      </w:r>
      <w:r w:rsidR="00A67638"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חוקי חמורבי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>, חוקים אלה</w:t>
      </w:r>
      <w:r w:rsidR="00A67638"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 נחקקו </w:t>
      </w:r>
      <w:r w:rsidR="00A67638"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כמה </w:t>
      </w:r>
      <w:r w:rsidR="00A67638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מאות שנים לפני שניתנה התורה 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לעם ישראל. </w:t>
      </w:r>
      <w:r w:rsidR="00A67638"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הדמיון בין חוקי חמורבי לחוקי התורה הוביל כמ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ה מן החוקרים לטעון להשפעה </w:t>
      </w:r>
      <w:r w:rsid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של חוקי חמורבי על חוקי התורה.</w:t>
      </w:r>
    </w:p>
    <w:p w:rsidR="00EF550A" w:rsidRDefault="00A67638" w:rsidP="008515C7">
      <w:pPr>
        <w:spacing w:after="0" w:line="240" w:lineRule="auto"/>
        <w:rPr>
          <w:rFonts w:asciiTheme="minorBidi" w:eastAsia="Calibri" w:hAnsiTheme="minorBidi" w:cs="Arial" w:hint="cs"/>
          <w:sz w:val="24"/>
          <w:szCs w:val="24"/>
          <w:rtl/>
          <w:lang w:val="en-GB"/>
        </w:rPr>
      </w:pP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טענה זו, שהייתה מקובלת מאוד עם ג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>ילוי חוקי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חמורבי ב 1901</w:t>
      </w: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, א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>ינה רווחת עוד ב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>קרב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 החוקרים 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בשל </w:t>
      </w: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הקושי להוכיח השפע</w:t>
      </w:r>
      <w:r w:rsidR="004E0204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ה 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>ישירה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</w:t>
      </w:r>
      <w:r w:rsidR="00EF550A"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של חוקי חמורבי על התורה, </w:t>
      </w:r>
      <w:r w:rsidR="004E0204"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ובעיקר עם גילויים של </w:t>
      </w: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קובצי חוק אחרים מאזור </w:t>
      </w:r>
      <w:r w:rsidR="004E0204">
        <w:rPr>
          <w:rFonts w:asciiTheme="minorBidi" w:eastAsia="Calibri" w:hAnsiTheme="minorBidi" w:cs="Arial"/>
          <w:sz w:val="24"/>
          <w:szCs w:val="24"/>
          <w:rtl/>
          <w:lang w:val="en-GB"/>
        </w:rPr>
        <w:t>מסופוטמיה</w:t>
      </w:r>
      <w:r w:rsidR="004E0204"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</w:t>
      </w: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המקיימים אף </w:t>
      </w:r>
      <w:r w:rsidR="004E0204">
        <w:rPr>
          <w:rFonts w:asciiTheme="minorBidi" w:eastAsia="Calibri" w:hAnsiTheme="minorBidi" w:cs="Arial"/>
          <w:sz w:val="24"/>
          <w:szCs w:val="24"/>
          <w:rtl/>
          <w:lang w:val="en-GB"/>
        </w:rPr>
        <w:t>הם זיקות לחוקי התורה.</w:t>
      </w:r>
    </w:p>
    <w:p w:rsidR="000C52E6" w:rsidRDefault="00A67638" w:rsidP="008515C7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כיום מעדיפים רבים מן החוקרים להסביר את ה</w:t>
      </w:r>
      <w:r w:rsidR="004E0204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דמיון בקיומן של מסורות </w:t>
      </w:r>
      <w:r w:rsidRPr="00A67638">
        <w:rPr>
          <w:rFonts w:asciiTheme="minorBidi" w:eastAsia="Calibri" w:hAnsiTheme="minorBidi" w:cs="Arial"/>
          <w:sz w:val="24"/>
          <w:szCs w:val="24"/>
          <w:rtl/>
          <w:lang w:val="en-GB"/>
        </w:rPr>
        <w:t>קדומות, שהיו מש</w:t>
      </w:r>
      <w:r w:rsidR="00EF550A">
        <w:rPr>
          <w:rFonts w:asciiTheme="minorBidi" w:eastAsia="Calibri" w:hAnsiTheme="minorBidi" w:cs="Arial"/>
          <w:sz w:val="24"/>
          <w:szCs w:val="24"/>
          <w:rtl/>
          <w:lang w:val="en-GB"/>
        </w:rPr>
        <w:t>ותפות לעמים שונים במזרח הקדום</w:t>
      </w:r>
      <w:r w:rsidR="00EF550A">
        <w:rPr>
          <w:rFonts w:asciiTheme="minorBidi" w:eastAsia="Calibri" w:hAnsiTheme="minorBidi" w:cs="Arial" w:hint="cs"/>
          <w:sz w:val="24"/>
          <w:szCs w:val="24"/>
          <w:rtl/>
          <w:lang w:val="en-GB"/>
        </w:rPr>
        <w:t>.</w:t>
      </w:r>
    </w:p>
    <w:p w:rsidR="004E0204" w:rsidRPr="00EF550A" w:rsidRDefault="004E0204" w:rsidP="008515C7">
      <w:pPr>
        <w:spacing w:after="0" w:line="240" w:lineRule="auto"/>
        <w:rPr>
          <w:rFonts w:asciiTheme="minorBidi" w:eastAsia="Calibri" w:hAnsiTheme="minorBidi" w:hint="cs"/>
          <w:sz w:val="16"/>
          <w:szCs w:val="16"/>
          <w:rtl/>
          <w:lang w:val="en-GB"/>
        </w:rPr>
      </w:pPr>
    </w:p>
    <w:p w:rsidR="004E0204" w:rsidRDefault="004E0204" w:rsidP="008515C7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>
        <w:rPr>
          <w:rFonts w:asciiTheme="minorBidi" w:eastAsia="Calibri" w:hAnsiTheme="minorBidi" w:hint="cs"/>
          <w:sz w:val="24"/>
          <w:szCs w:val="24"/>
          <w:rtl/>
          <w:lang w:val="en-GB"/>
        </w:rPr>
        <w:t>לשם המחשת הדמיון שבין החוקים אביא מספר דוגמאות:</w:t>
      </w:r>
    </w:p>
    <w:p w:rsidR="00EF550A" w:rsidRPr="00EF550A" w:rsidRDefault="00EF550A" w:rsidP="008515C7">
      <w:pPr>
        <w:spacing w:after="0" w:line="240" w:lineRule="auto"/>
        <w:rPr>
          <w:rFonts w:asciiTheme="minorBidi" w:eastAsia="Calibri" w:hAnsiTheme="minorBidi" w:hint="cs"/>
          <w:sz w:val="16"/>
          <w:szCs w:val="16"/>
          <w:rtl/>
          <w:lang w:val="en-GB"/>
        </w:rPr>
      </w:pPr>
    </w:p>
    <w:p w:rsidR="004E0204" w:rsidRDefault="004E0204" w:rsidP="008515C7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שמות כ"א 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>–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פסוק כ"ד: </w:t>
      </w:r>
      <w:r w:rsidRPr="004E0204">
        <w:rPr>
          <w:rFonts w:asciiTheme="minorBidi" w:eastAsia="Calibri" w:hAnsiTheme="minorBidi" w:cs="Arial" w:hint="cs"/>
          <w:b/>
          <w:bCs/>
          <w:sz w:val="24"/>
          <w:szCs w:val="24"/>
          <w:rtl/>
          <w:lang w:val="en-GB"/>
        </w:rPr>
        <w:t>"</w:t>
      </w:r>
      <w:r w:rsidRPr="004E0204">
        <w:rPr>
          <w:rFonts w:asciiTheme="minorBidi" w:eastAsia="Calibri" w:hAnsiTheme="minorBidi" w:cs="Arial"/>
          <w:b/>
          <w:bCs/>
          <w:sz w:val="24"/>
          <w:szCs w:val="24"/>
          <w:rtl/>
          <w:lang w:val="en-GB"/>
        </w:rPr>
        <w:t>עַיִן תַּחַת עַיִן, שֵׁן תַּחַת שֵׁן, יָד תַּחַת יָד, רֶגֶל תַּחַת רָגֶל.</w:t>
      </w:r>
      <w:r w:rsidRPr="004E0204"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  <w:t>"</w:t>
      </w:r>
    </w:p>
    <w:p w:rsidR="004E0204" w:rsidRPr="004E0204" w:rsidRDefault="004E0204" w:rsidP="004E0204">
      <w:pPr>
        <w:spacing w:after="0" w:line="240" w:lineRule="auto"/>
        <w:rPr>
          <w:rFonts w:asciiTheme="minorBidi" w:eastAsia="Calibri" w:hAnsiTheme="minorBidi"/>
          <w:sz w:val="24"/>
          <w:szCs w:val="24"/>
          <w:rtl/>
          <w:lang w:val="en-GB"/>
        </w:rPr>
      </w:pPr>
      <w:r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חמורבי - </w:t>
      </w:r>
      <w:r w:rsidRPr="004E0204">
        <w:rPr>
          <w:rFonts w:asciiTheme="minorBidi" w:eastAsia="Calibri" w:hAnsiTheme="minorBidi" w:cs="Arial"/>
          <w:b/>
          <w:bCs/>
          <w:sz w:val="24"/>
          <w:szCs w:val="24"/>
          <w:rtl/>
          <w:lang w:val="en-GB"/>
        </w:rPr>
        <w:t>אם השחית איש את עין רעהו – את עינו ישחיתו</w:t>
      </w:r>
      <w:r w:rsidRPr="004E0204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 (חוק 196).</w:t>
      </w:r>
    </w:p>
    <w:p w:rsidR="004E0204" w:rsidRPr="004E0204" w:rsidRDefault="004E0204" w:rsidP="004E0204">
      <w:pPr>
        <w:spacing w:after="0" w:line="240" w:lineRule="auto"/>
        <w:rPr>
          <w:rFonts w:asciiTheme="minorBidi" w:eastAsia="Calibri" w:hAnsiTheme="minorBidi"/>
          <w:sz w:val="24"/>
          <w:szCs w:val="24"/>
          <w:rtl/>
          <w:lang w:val="en-GB"/>
        </w:rPr>
      </w:pP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            </w:t>
      </w:r>
      <w:r w:rsidRPr="004E0204">
        <w:rPr>
          <w:rFonts w:asciiTheme="minorBidi" w:eastAsia="Calibri" w:hAnsiTheme="minorBidi" w:cs="Arial"/>
          <w:b/>
          <w:bCs/>
          <w:sz w:val="24"/>
          <w:szCs w:val="24"/>
          <w:rtl/>
          <w:lang w:val="en-GB"/>
        </w:rPr>
        <w:t>אם שיבר את עצם רעהו, את עצמו ישברו</w:t>
      </w:r>
      <w:r w:rsidRPr="004E0204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 (חוק 197).</w:t>
      </w:r>
    </w:p>
    <w:p w:rsidR="004E0204" w:rsidRDefault="004E0204" w:rsidP="004E0204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            </w:t>
      </w:r>
      <w:r w:rsidRPr="004E0204">
        <w:rPr>
          <w:rFonts w:asciiTheme="minorBidi" w:eastAsia="Calibri" w:hAnsiTheme="minorBidi" w:cs="Arial"/>
          <w:b/>
          <w:bCs/>
          <w:sz w:val="24"/>
          <w:szCs w:val="24"/>
          <w:rtl/>
          <w:lang w:val="en-GB"/>
        </w:rPr>
        <w:t>אם הכה איש את שן רעהו, את שִׁנּוֹ יכו</w:t>
      </w:r>
      <w:r w:rsidRPr="004E0204">
        <w:rPr>
          <w:rFonts w:asciiTheme="minorBidi" w:eastAsia="Calibri" w:hAnsiTheme="minorBidi" w:cs="Arial"/>
          <w:sz w:val="24"/>
          <w:szCs w:val="24"/>
          <w:rtl/>
          <w:lang w:val="en-GB"/>
        </w:rPr>
        <w:t xml:space="preserve"> (חוק 201).</w:t>
      </w:r>
    </w:p>
    <w:p w:rsidR="004E0204" w:rsidRDefault="004E0204" w:rsidP="004E0204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</w:p>
    <w:p w:rsidR="004E0204" w:rsidRPr="004E0204" w:rsidRDefault="004E0204" w:rsidP="004E0204">
      <w:pPr>
        <w:spacing w:after="0" w:line="240" w:lineRule="auto"/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</w:pP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שמות כ"א </w:t>
      </w:r>
      <w:r>
        <w:rPr>
          <w:rFonts w:asciiTheme="minorBidi" w:eastAsia="Calibri" w:hAnsiTheme="minorBidi" w:cs="Arial"/>
          <w:sz w:val="24"/>
          <w:szCs w:val="24"/>
          <w:rtl/>
          <w:lang w:val="en-GB"/>
        </w:rPr>
        <w:t>–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 פסוק 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>ט"ז</w:t>
      </w:r>
      <w:r>
        <w:rPr>
          <w:rFonts w:asciiTheme="minorBidi" w:eastAsia="Calibri" w:hAnsiTheme="minorBidi" w:cs="Arial" w:hint="cs"/>
          <w:sz w:val="24"/>
          <w:szCs w:val="24"/>
          <w:rtl/>
          <w:lang w:val="en-GB"/>
        </w:rPr>
        <w:t xml:space="preserve">: </w:t>
      </w:r>
      <w:r w:rsidRPr="004E0204">
        <w:rPr>
          <w:rFonts w:asciiTheme="minorBidi" w:eastAsia="Calibri" w:hAnsiTheme="minorBidi" w:cs="Arial" w:hint="cs"/>
          <w:b/>
          <w:bCs/>
          <w:sz w:val="24"/>
          <w:szCs w:val="24"/>
          <w:rtl/>
          <w:lang w:val="en-GB"/>
        </w:rPr>
        <w:t>"</w:t>
      </w:r>
      <w:r w:rsidRPr="004E0204">
        <w:rPr>
          <w:rFonts w:asciiTheme="minorBidi" w:eastAsia="Calibri" w:hAnsiTheme="minorBidi" w:cs="Arial"/>
          <w:b/>
          <w:bCs/>
          <w:sz w:val="24"/>
          <w:szCs w:val="24"/>
          <w:rtl/>
          <w:lang w:val="en-GB"/>
        </w:rPr>
        <w:t>וְגֹנֵב אִישׁ וּמְכָרוֹ וְנִמְצָא בְיָדוֹ מוֹת יוּמָת:</w:t>
      </w:r>
      <w:r w:rsidRPr="004E0204">
        <w:rPr>
          <w:rFonts w:asciiTheme="minorBidi" w:eastAsia="Calibri" w:hAnsiTheme="minorBidi" w:hint="cs"/>
          <w:b/>
          <w:bCs/>
          <w:sz w:val="24"/>
          <w:szCs w:val="24"/>
          <w:rtl/>
          <w:lang w:val="en-GB"/>
        </w:rPr>
        <w:t>"</w:t>
      </w:r>
    </w:p>
    <w:p w:rsidR="008102CC" w:rsidRDefault="008102CC" w:rsidP="008102CC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  <w:r w:rsidRPr="008102CC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>חמורבי</w:t>
      </w:r>
      <w:r>
        <w:rPr>
          <w:rFonts w:ascii="David" w:hAnsi="David" w:cs="David" w:hint="cs"/>
          <w:color w:val="222222"/>
          <w:sz w:val="25"/>
          <w:szCs w:val="25"/>
          <w:shd w:val="clear" w:color="auto" w:fill="FFFFFF"/>
          <w:rtl/>
        </w:rPr>
        <w:t xml:space="preserve"> - </w:t>
      </w:r>
      <w:r w:rsidRPr="008102CC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rtl/>
        </w:rPr>
        <w:t xml:space="preserve">אם גנב איש את בנו הקטן של רעהו </w:t>
      </w:r>
      <w:r w:rsidRPr="008102CC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rtl/>
        </w:rPr>
        <w:t>–</w:t>
      </w:r>
      <w:r w:rsidRPr="008102CC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rtl/>
        </w:rPr>
        <w:t xml:space="preserve"> יומת</w:t>
      </w:r>
      <w:r>
        <w:rPr>
          <w:rFonts w:ascii="David" w:hAnsi="David" w:cs="David" w:hint="cs"/>
          <w:color w:val="222222"/>
          <w:sz w:val="25"/>
          <w:szCs w:val="25"/>
          <w:shd w:val="clear" w:color="auto" w:fill="FFFFFF"/>
          <w:rtl/>
        </w:rPr>
        <w:t xml:space="preserve"> </w:t>
      </w:r>
      <w:r>
        <w:rPr>
          <w:rFonts w:asciiTheme="minorBidi" w:eastAsia="Calibri" w:hAnsiTheme="minorBidi"/>
          <w:sz w:val="24"/>
          <w:szCs w:val="24"/>
          <w:rtl/>
          <w:lang w:val="en-GB"/>
        </w:rPr>
        <w:t>(חוק</w:t>
      </w:r>
      <w:r>
        <w:rPr>
          <w:rFonts w:asciiTheme="minorBidi" w:eastAsia="Calibri" w:hAnsiTheme="minorBidi" w:hint="cs"/>
          <w:sz w:val="24"/>
          <w:szCs w:val="24"/>
          <w:rtl/>
          <w:lang w:val="en-GB"/>
        </w:rPr>
        <w:t xml:space="preserve"> 14</w:t>
      </w:r>
      <w:r w:rsidRPr="008102CC">
        <w:rPr>
          <w:rFonts w:asciiTheme="minorBidi" w:eastAsia="Calibri" w:hAnsiTheme="minorBidi"/>
          <w:sz w:val="24"/>
          <w:szCs w:val="24"/>
          <w:rtl/>
          <w:lang w:val="en-GB"/>
        </w:rPr>
        <w:t>).</w:t>
      </w:r>
    </w:p>
    <w:p w:rsidR="008102CC" w:rsidRDefault="008102CC" w:rsidP="008102CC">
      <w:pPr>
        <w:spacing w:after="0" w:line="240" w:lineRule="auto"/>
        <w:rPr>
          <w:rFonts w:asciiTheme="minorBidi" w:eastAsia="Calibri" w:hAnsiTheme="minorBidi" w:hint="cs"/>
          <w:sz w:val="24"/>
          <w:szCs w:val="24"/>
          <w:rtl/>
          <w:lang w:val="en-GB"/>
        </w:rPr>
      </w:pPr>
    </w:p>
    <w:p w:rsidR="00494A66" w:rsidRPr="004C2B17" w:rsidRDefault="00494A66" w:rsidP="00494A66">
      <w:pPr>
        <w:spacing w:after="0"/>
        <w:jc w:val="both"/>
        <w:rPr>
          <w:sz w:val="24"/>
          <w:szCs w:val="24"/>
          <w:rtl/>
        </w:rPr>
      </w:pPr>
      <w:r w:rsidRPr="00B67AA7">
        <w:rPr>
          <w:rFonts w:ascii="Arial" w:eastAsia="Calibri" w:hAnsi="Arial" w:cs="Arial" w:hint="cs"/>
          <w:sz w:val="24"/>
          <w:szCs w:val="24"/>
          <w:rtl/>
        </w:rPr>
        <w:t xml:space="preserve">           </w:t>
      </w:r>
    </w:p>
    <w:p w:rsidR="00494A66" w:rsidRDefault="00494A66" w:rsidP="00494A66">
      <w:pPr>
        <w:rPr>
          <w:b/>
          <w:bCs/>
          <w:sz w:val="24"/>
          <w:szCs w:val="24"/>
          <w:rtl/>
        </w:rPr>
      </w:pPr>
      <w:r w:rsidRPr="00B67AA7">
        <w:rPr>
          <w:rFonts w:hint="cs"/>
          <w:b/>
          <w:bCs/>
          <w:sz w:val="24"/>
          <w:szCs w:val="24"/>
          <w:rtl/>
        </w:rPr>
        <w:t>שבת שלום לעם ישראל ולגן יאשיה !</w:t>
      </w:r>
    </w:p>
    <w:p w:rsidR="00C94511" w:rsidRPr="00494A66" w:rsidRDefault="00016F23" w:rsidP="00494A66">
      <w:pPr>
        <w:spacing w:after="0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</w:t>
      </w:r>
    </w:p>
    <w:sectPr w:rsidR="00C94511" w:rsidRPr="00494A66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C4A"/>
    <w:multiLevelType w:val="hybridMultilevel"/>
    <w:tmpl w:val="78B8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706"/>
    <w:multiLevelType w:val="hybridMultilevel"/>
    <w:tmpl w:val="662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00772E"/>
    <w:rsid w:val="00016F23"/>
    <w:rsid w:val="000749E5"/>
    <w:rsid w:val="000C52E6"/>
    <w:rsid w:val="000F22EE"/>
    <w:rsid w:val="00105395"/>
    <w:rsid w:val="00105890"/>
    <w:rsid w:val="001332D3"/>
    <w:rsid w:val="00137105"/>
    <w:rsid w:val="00190C4B"/>
    <w:rsid w:val="00197E93"/>
    <w:rsid w:val="001A4D00"/>
    <w:rsid w:val="001D54DB"/>
    <w:rsid w:val="001F2FCC"/>
    <w:rsid w:val="00205A7E"/>
    <w:rsid w:val="00241290"/>
    <w:rsid w:val="00242164"/>
    <w:rsid w:val="00244264"/>
    <w:rsid w:val="00254AEF"/>
    <w:rsid w:val="00255DD9"/>
    <w:rsid w:val="00260EB0"/>
    <w:rsid w:val="00265D5F"/>
    <w:rsid w:val="00282D88"/>
    <w:rsid w:val="00313806"/>
    <w:rsid w:val="00364A72"/>
    <w:rsid w:val="003D0101"/>
    <w:rsid w:val="003E649B"/>
    <w:rsid w:val="00427638"/>
    <w:rsid w:val="00435D24"/>
    <w:rsid w:val="00443267"/>
    <w:rsid w:val="00443451"/>
    <w:rsid w:val="0048231B"/>
    <w:rsid w:val="00485487"/>
    <w:rsid w:val="00494A66"/>
    <w:rsid w:val="004B3391"/>
    <w:rsid w:val="004B395B"/>
    <w:rsid w:val="004C2B17"/>
    <w:rsid w:val="004E0204"/>
    <w:rsid w:val="004E5A4F"/>
    <w:rsid w:val="00547E13"/>
    <w:rsid w:val="00555181"/>
    <w:rsid w:val="0055570E"/>
    <w:rsid w:val="00556CEA"/>
    <w:rsid w:val="005B6EEB"/>
    <w:rsid w:val="005C18A3"/>
    <w:rsid w:val="005C6869"/>
    <w:rsid w:val="005E6465"/>
    <w:rsid w:val="00603A34"/>
    <w:rsid w:val="00621407"/>
    <w:rsid w:val="00693271"/>
    <w:rsid w:val="006C7C1F"/>
    <w:rsid w:val="006D7971"/>
    <w:rsid w:val="00713CD3"/>
    <w:rsid w:val="007318B6"/>
    <w:rsid w:val="0073270E"/>
    <w:rsid w:val="00737AFF"/>
    <w:rsid w:val="00755F14"/>
    <w:rsid w:val="007B1B16"/>
    <w:rsid w:val="007C30B8"/>
    <w:rsid w:val="007C7A6D"/>
    <w:rsid w:val="00800080"/>
    <w:rsid w:val="008102CC"/>
    <w:rsid w:val="008136DA"/>
    <w:rsid w:val="008515C7"/>
    <w:rsid w:val="00852DD3"/>
    <w:rsid w:val="00881624"/>
    <w:rsid w:val="008B2374"/>
    <w:rsid w:val="0091176E"/>
    <w:rsid w:val="009378DC"/>
    <w:rsid w:val="009650AB"/>
    <w:rsid w:val="00974FB8"/>
    <w:rsid w:val="00983B5E"/>
    <w:rsid w:val="009B5CD4"/>
    <w:rsid w:val="009F0397"/>
    <w:rsid w:val="00A04E07"/>
    <w:rsid w:val="00A63ECC"/>
    <w:rsid w:val="00A67638"/>
    <w:rsid w:val="00A72074"/>
    <w:rsid w:val="00AB0011"/>
    <w:rsid w:val="00AE3403"/>
    <w:rsid w:val="00B51915"/>
    <w:rsid w:val="00B67AA7"/>
    <w:rsid w:val="00B729BE"/>
    <w:rsid w:val="00B95168"/>
    <w:rsid w:val="00B95B6D"/>
    <w:rsid w:val="00BB7741"/>
    <w:rsid w:val="00BC47C5"/>
    <w:rsid w:val="00BE5222"/>
    <w:rsid w:val="00BF036F"/>
    <w:rsid w:val="00BF6EC3"/>
    <w:rsid w:val="00C32C8F"/>
    <w:rsid w:val="00C427FD"/>
    <w:rsid w:val="00C4519D"/>
    <w:rsid w:val="00C51829"/>
    <w:rsid w:val="00C94511"/>
    <w:rsid w:val="00CE29B3"/>
    <w:rsid w:val="00CE5E98"/>
    <w:rsid w:val="00D40374"/>
    <w:rsid w:val="00D57EF6"/>
    <w:rsid w:val="00D928D6"/>
    <w:rsid w:val="00D93568"/>
    <w:rsid w:val="00DA29A8"/>
    <w:rsid w:val="00DA673F"/>
    <w:rsid w:val="00DC4CCB"/>
    <w:rsid w:val="00DD3877"/>
    <w:rsid w:val="00DD437B"/>
    <w:rsid w:val="00DF542B"/>
    <w:rsid w:val="00DF59DE"/>
    <w:rsid w:val="00E20EDA"/>
    <w:rsid w:val="00E37BB5"/>
    <w:rsid w:val="00E62D7B"/>
    <w:rsid w:val="00E874CC"/>
    <w:rsid w:val="00EA18AF"/>
    <w:rsid w:val="00EA2D58"/>
    <w:rsid w:val="00EC150F"/>
    <w:rsid w:val="00ED27C0"/>
    <w:rsid w:val="00ED68F1"/>
    <w:rsid w:val="00EF550A"/>
    <w:rsid w:val="00F127BC"/>
    <w:rsid w:val="00F13250"/>
    <w:rsid w:val="00F16890"/>
    <w:rsid w:val="00F41232"/>
    <w:rsid w:val="00F47EB9"/>
    <w:rsid w:val="00F50CA0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442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7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442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7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08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6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61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CB65-C524-434A-B9F5-182AA261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2018-08-07T18:23:00Z</dcterms:created>
  <dcterms:modified xsi:type="dcterms:W3CDTF">2019-01-30T21:25:00Z</dcterms:modified>
</cp:coreProperties>
</file>