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12" w:rsidRDefault="00F30912" w:rsidP="00FE51DA">
      <w:pPr>
        <w:bidi/>
        <w:spacing w:line="24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F30912" w:rsidRPr="00AA5261" w:rsidRDefault="00F30912" w:rsidP="00F30912">
      <w:pPr>
        <w:bidi/>
        <w:spacing w:line="240" w:lineRule="auto"/>
        <w:jc w:val="center"/>
        <w:rPr>
          <w:rFonts w:asciiTheme="minorBidi" w:hAnsiTheme="minorBidi" w:cstheme="minorBidi"/>
          <w:b/>
          <w:bCs/>
          <w:color w:val="002060"/>
          <w:u w:val="single"/>
          <w:rtl/>
        </w:rPr>
      </w:pPr>
    </w:p>
    <w:p w:rsidR="00FE51DA" w:rsidRPr="00AA5261" w:rsidRDefault="00FE51DA" w:rsidP="00FD77A6">
      <w:pPr>
        <w:bidi/>
        <w:spacing w:line="240" w:lineRule="auto"/>
        <w:jc w:val="center"/>
        <w:rPr>
          <w:rFonts w:asciiTheme="minorBidi" w:hAnsiTheme="minorBidi" w:cstheme="minorBidi"/>
          <w:b/>
          <w:bCs/>
          <w:color w:val="002060"/>
          <w:u w:val="single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u w:val="single"/>
          <w:rtl/>
        </w:rPr>
        <w:t xml:space="preserve">מרכז קשר והכוון – </w:t>
      </w:r>
      <w:r w:rsidR="00FD77A6">
        <w:rPr>
          <w:rFonts w:asciiTheme="minorBidi" w:hAnsiTheme="minorBidi" w:cstheme="minorBidi" w:hint="cs"/>
          <w:b/>
          <w:bCs/>
          <w:color w:val="002060"/>
          <w:u w:val="single"/>
          <w:rtl/>
        </w:rPr>
        <w:t xml:space="preserve">שלוחת </w:t>
      </w:r>
      <w:r w:rsidRPr="00AA5261">
        <w:rPr>
          <w:rFonts w:asciiTheme="minorBidi" w:hAnsiTheme="minorBidi" w:cstheme="minorBidi"/>
          <w:b/>
          <w:bCs/>
          <w:color w:val="002060"/>
          <w:u w:val="single"/>
          <w:rtl/>
        </w:rPr>
        <w:t xml:space="preserve">עמק חפר </w:t>
      </w:r>
    </w:p>
    <w:p w:rsidR="00383BA1" w:rsidRPr="00AA5261" w:rsidRDefault="00383BA1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p w:rsidR="00DC2EFC" w:rsidRPr="00AA5261" w:rsidRDefault="00ED30FB" w:rsidP="00383BA1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רקע</w:t>
      </w:r>
      <w:r w:rsidR="00DC2EFC"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:</w:t>
      </w:r>
      <w:r w:rsidR="00DC2EFC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"מרכז קשר והכוון",  הוא תוצר של תכנית אב שבוצעה על-ידי מועצת "עמק חפר" בשנים 2013-2014, אשר בדקה את צרכיהם של אוכלוסיית הגיל השלישי ובמסגרתה נעשה אפיון  צרכיהם העתידיים הנובעים מהעלייה בתוחלת החיים. </w:t>
      </w:r>
    </w:p>
    <w:p w:rsidR="00E06A6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בעמק קרוב ל 13% מכלל האוכלוסייה הם אזרחים וותיקים (בהשוואה ל 11% מכלל אוכלוסיית הוותיקים במדינה) הצפי הוא כי עד שנת  2025  אוכלוסיית גיל זו תהווה בין 17% - 18% מכלל אוכלוסיית העמק. </w:t>
      </w:r>
    </w:p>
    <w:p w:rsidR="00DC2EFC" w:rsidRPr="00AA5261" w:rsidRDefault="00DC2EFC" w:rsidP="00FD77A6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 xml:space="preserve">לאור זאת מועצת "עמק חפר", החליטה  להתארגן באופן מוסדר למתן מענה ויצירת "כלים" לניהול תקופת חיים חדשה זו. (לא מדובר בפעילות תרבותית אלה במתן כלים מקצועיים </w:t>
      </w:r>
      <w:r w:rsidR="00FD77A6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>כגון</w:t>
      </w: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 xml:space="preserve"> הרצאות, סדנאות וקורסים, לשיפור ושימור איכות ורווחת החיים של התושבים.)</w:t>
      </w: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שותפים לתוכנית:</w:t>
      </w: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 xml:space="preserve">  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התוכנית משותפת למועצת "עמק חפר", אש"ל – </w:t>
      </w:r>
      <w:proofErr w:type="spellStart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גוינט</w:t>
      </w:r>
      <w:proofErr w:type="spellEnd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ישראל (אגודה לתכנון ולפיתוח שירותים למען הזקן ובני משפחתו בישראל) והמשרד לשוויון חברתי.</w:t>
      </w: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p w:rsidR="0030749B" w:rsidRPr="00AA5261" w:rsidRDefault="00DC2EFC" w:rsidP="00FB1570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מטרת ה</w:t>
      </w:r>
      <w:r w:rsidR="00FB1570" w:rsidRPr="00AA5261">
        <w:rPr>
          <w:rFonts w:asciiTheme="minorBidi" w:hAnsiTheme="minorBidi" w:cstheme="minorBidi" w:hint="cs"/>
          <w:b/>
          <w:bCs/>
          <w:color w:val="002060"/>
          <w:sz w:val="24"/>
          <w:szCs w:val="24"/>
          <w:u w:val="single"/>
          <w:rtl/>
        </w:rPr>
        <w:t>מרכז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: הכוו</w:t>
      </w:r>
      <w:r w:rsidR="0040424E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ן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לשירותים קיימים </w:t>
      </w:r>
      <w:r w:rsidR="0040424E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בעמק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, ופיתוח שירותים חדשים </w:t>
      </w:r>
      <w:r w:rsidR="0030749B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אשר יעניקו "כלים" ותמיכה לתקופת החיים החדשה, "ינרמלו" את היציאה לגמלאות ויאפשרו לכל פורש לבנות שגרת חיים חדשה, איכותית ומשמעותית המתאימה לו.</w:t>
      </w: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ליבות התוכן בהם יעסוק המרכז:</w:t>
      </w: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מיצוי זכויות, תכנון פיננסי, חזרה למעגל העבודה תעסוקה ויזמות, התנדבות, אורח חיים בריא, היבטים רגשיים והיבטים שונים של המשפחה הרב דורית, טכנולוגיה- מחשבים </w:t>
      </w:r>
      <w:proofErr w:type="spellStart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וסמארטפון</w:t>
      </w:r>
      <w:proofErr w:type="spellEnd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ועוד. </w:t>
      </w:r>
    </w:p>
    <w:p w:rsidR="00DC2EFC" w:rsidRPr="00AA526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</w:p>
    <w:p w:rsidR="00DC2EFC" w:rsidRPr="00AA5261" w:rsidRDefault="0030749B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אופן פעילות המרכז</w:t>
      </w:r>
      <w:r w:rsidR="00DC2EFC"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 xml:space="preserve">: </w:t>
      </w:r>
    </w:p>
    <w:p w:rsidR="0030749B" w:rsidRPr="00AA5261" w:rsidRDefault="0030749B" w:rsidP="00E06A6C">
      <w:pPr>
        <w:pStyle w:val="a3"/>
        <w:numPr>
          <w:ilvl w:val="0"/>
          <w:numId w:val="4"/>
        </w:num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  <w:t xml:space="preserve">המרכז עובד בשני מעגלים- </w:t>
      </w:r>
    </w:p>
    <w:p w:rsidR="00DC2EFC" w:rsidRPr="00AA5261" w:rsidRDefault="00DC2EFC" w:rsidP="00E06A6C">
      <w:pPr>
        <w:pStyle w:val="a3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המעגל האזורי – פעילות ברמה האזורית</w:t>
      </w:r>
      <w:r w:rsidR="0030749B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של כלל העמק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. </w:t>
      </w:r>
    </w:p>
    <w:p w:rsidR="00DC2EFC" w:rsidRPr="00AA5261" w:rsidRDefault="00DC2EFC" w:rsidP="00E06A6C">
      <w:pPr>
        <w:pStyle w:val="a3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מעגל </w:t>
      </w:r>
      <w:proofErr w:type="spellStart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השלוחתי</w:t>
      </w:r>
      <w:proofErr w:type="spellEnd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– פעילות תוכן רלוונטית שתתבצע בי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י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שובי השלוחה.</w:t>
      </w:r>
    </w:p>
    <w:p w:rsidR="0030749B" w:rsidRPr="00AA5261" w:rsidRDefault="0030749B" w:rsidP="00E06A6C">
      <w:pPr>
        <w:pStyle w:val="a3"/>
        <w:numPr>
          <w:ilvl w:val="0"/>
          <w:numId w:val="4"/>
        </w:num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  <w:t xml:space="preserve">המרכז פועל בשני מישורים- </w:t>
      </w:r>
    </w:p>
    <w:p w:rsidR="0030749B" w:rsidRPr="00AA5261" w:rsidRDefault="0030749B" w:rsidP="00E06A6C">
      <w:pPr>
        <w:pStyle w:val="a3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ברמה הקבוצתית- פעילות 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בקבוצות</w:t>
      </w:r>
    </w:p>
    <w:p w:rsidR="00E05EAF" w:rsidRPr="00AA5261" w:rsidRDefault="00E05EAF" w:rsidP="00E06A6C">
      <w:pPr>
        <w:pStyle w:val="a3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ברמה הפרטנית- ליווי אישי ופרטני.</w:t>
      </w:r>
    </w:p>
    <w:p w:rsidR="00E05EAF" w:rsidRPr="00AA5261" w:rsidRDefault="00E05EAF" w:rsidP="00E06A6C">
      <w:pPr>
        <w:bidi/>
        <w:spacing w:line="240" w:lineRule="auto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p w:rsidR="00E05EAF" w:rsidRPr="00AA5261" w:rsidRDefault="00E05EAF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  <w:t>נעים להכיר - צוות מרכז קשר והכוון</w:t>
      </w:r>
      <w:r w:rsidR="00ED30FB" w:rsidRPr="00AA5261">
        <w:rPr>
          <w:rFonts w:asciiTheme="minorBidi" w:hAnsiTheme="minorBidi" w:cstheme="minorBidi" w:hint="cs"/>
          <w:b/>
          <w:bCs/>
          <w:color w:val="002060"/>
          <w:sz w:val="24"/>
          <w:szCs w:val="24"/>
          <w:u w:val="single"/>
          <w:rtl/>
        </w:rPr>
        <w:t>:</w:t>
      </w:r>
    </w:p>
    <w:p w:rsidR="00E06A6C" w:rsidRPr="00AA5261" w:rsidRDefault="00E05EAF" w:rsidP="00E06A6C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תמי סלוצקי – מנהלת המרכז: 050-5351606, </w:t>
      </w:r>
      <w:hyperlink r:id="rId11" w:history="1">
        <w:r w:rsidR="00E06A6C" w:rsidRPr="00AA5261">
          <w:rPr>
            <w:rStyle w:val="Hyperlink"/>
            <w:rFonts w:asciiTheme="minorBidi" w:hAnsiTheme="minorBidi" w:cstheme="minorBidi"/>
            <w:color w:val="002060"/>
            <w:sz w:val="24"/>
            <w:szCs w:val="24"/>
          </w:rPr>
          <w:t>tamis@hefer.org.il</w:t>
        </w:r>
      </w:hyperlink>
    </w:p>
    <w:p w:rsidR="00E05EAF" w:rsidRPr="00AA5261" w:rsidRDefault="00E05EAF" w:rsidP="00E06A6C">
      <w:pPr>
        <w:bidi/>
        <w:spacing w:line="240" w:lineRule="auto"/>
        <w:jc w:val="both"/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  <w:t>הצוות המקצועי של רכזי ה</w:t>
      </w:r>
      <w:r w:rsidR="00E06A6C" w:rsidRPr="00AA5261"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  <w:t>קשר ו</w:t>
      </w:r>
      <w:r w:rsidRPr="00AA5261"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  <w:t>הכוון הפועל בשטח:</w:t>
      </w:r>
    </w:p>
    <w:p w:rsidR="00E05EAF" w:rsidRPr="00AA5261" w:rsidRDefault="00E06A6C" w:rsidP="00F52D08">
      <w:pPr>
        <w:pStyle w:val="a3"/>
        <w:numPr>
          <w:ilvl w:val="0"/>
          <w:numId w:val="5"/>
        </w:numPr>
        <w:bidi/>
        <w:spacing w:line="240" w:lineRule="auto"/>
        <w:rPr>
          <w:rFonts w:asciiTheme="minorBidi" w:hAnsiTheme="minorBidi" w:cstheme="minorBidi"/>
          <w:color w:val="002060"/>
          <w:sz w:val="24"/>
          <w:szCs w:val="24"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מוטי </w:t>
      </w:r>
      <w:proofErr w:type="spellStart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שימשוביץ</w:t>
      </w:r>
      <w:proofErr w:type="spellEnd"/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– שלוחת חוף חפר, שלוחת 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צפון חפר </w:t>
      </w:r>
      <w:hyperlink r:id="rId12" w:history="1">
        <w:r w:rsidRPr="00AA5261">
          <w:rPr>
            <w:rStyle w:val="Hyperlink"/>
            <w:rFonts w:asciiTheme="minorBidi" w:hAnsiTheme="minorBidi" w:cstheme="minorBidi"/>
            <w:color w:val="002060"/>
            <w:sz w:val="24"/>
            <w:szCs w:val="24"/>
          </w:rPr>
          <w:t>motti60@gmail.com</w:t>
        </w:r>
      </w:hyperlink>
    </w:p>
    <w:p w:rsidR="00E05EAF" w:rsidRPr="00AA5261" w:rsidRDefault="00E06A6C" w:rsidP="00F52D08">
      <w:pPr>
        <w:pStyle w:val="a3"/>
        <w:numPr>
          <w:ilvl w:val="0"/>
          <w:numId w:val="5"/>
        </w:numPr>
        <w:bidi/>
        <w:spacing w:line="240" w:lineRule="auto"/>
        <w:rPr>
          <w:rFonts w:asciiTheme="minorBidi" w:hAnsiTheme="minorBidi" w:cstheme="minorBidi"/>
          <w:color w:val="002060"/>
          <w:sz w:val="24"/>
          <w:szCs w:val="24"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אסתי באומל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- 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שלוחת 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צפון חפר </w:t>
      </w: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</w:t>
      </w:r>
      <w:hyperlink r:id="rId13" w:history="1">
        <w:r w:rsidRPr="00AA5261">
          <w:rPr>
            <w:rStyle w:val="Hyperlink"/>
            <w:rFonts w:asciiTheme="minorBidi" w:hAnsiTheme="minorBidi" w:cstheme="minorBidi"/>
            <w:color w:val="002060"/>
            <w:sz w:val="24"/>
            <w:szCs w:val="24"/>
          </w:rPr>
          <w:t>estib@hefer.org.il</w:t>
        </w:r>
      </w:hyperlink>
    </w:p>
    <w:p w:rsidR="00E05EAF" w:rsidRPr="00AA5261" w:rsidRDefault="00E06A6C" w:rsidP="00ED30FB">
      <w:pPr>
        <w:pStyle w:val="a3"/>
        <w:numPr>
          <w:ilvl w:val="0"/>
          <w:numId w:val="5"/>
        </w:numPr>
        <w:bidi/>
        <w:spacing w:line="240" w:lineRule="auto"/>
        <w:rPr>
          <w:rFonts w:asciiTheme="minorBidi" w:hAnsiTheme="minorBidi" w:cstheme="minorBidi"/>
          <w:color w:val="002060"/>
          <w:sz w:val="24"/>
          <w:szCs w:val="24"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יוספה לינוי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>- שלוחת בת חפר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, </w:t>
      </w:r>
      <w:r w:rsidR="00ED30FB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שלוחת שפלת חפר</w:t>
      </w:r>
      <w:r w:rsidR="00ED30FB" w:rsidRPr="00AA5261">
        <w:rPr>
          <w:rFonts w:asciiTheme="minorBidi" w:hAnsiTheme="minorBidi" w:cstheme="minorBidi" w:hint="cs"/>
          <w:color w:val="002060"/>
          <w:sz w:val="24"/>
          <w:szCs w:val="24"/>
          <w:rtl/>
        </w:rPr>
        <w:t>/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קדם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</w:rPr>
        <w:t xml:space="preserve"> </w:t>
      </w:r>
      <w:hyperlink r:id="rId14" w:history="1">
        <w:r w:rsidRPr="00AA5261">
          <w:rPr>
            <w:rStyle w:val="Hyperlink"/>
            <w:rFonts w:asciiTheme="minorBidi" w:hAnsiTheme="minorBidi" w:cstheme="minorBidi"/>
            <w:color w:val="002060"/>
            <w:sz w:val="24"/>
            <w:szCs w:val="24"/>
          </w:rPr>
          <w:t>josie14@walla.co.il</w:t>
        </w:r>
      </w:hyperlink>
    </w:p>
    <w:p w:rsidR="00E05EAF" w:rsidRPr="00AA5261" w:rsidRDefault="00E06A6C" w:rsidP="00F52D08">
      <w:pPr>
        <w:pStyle w:val="a3"/>
        <w:numPr>
          <w:ilvl w:val="0"/>
          <w:numId w:val="5"/>
        </w:numPr>
        <w:bidi/>
        <w:spacing w:line="240" w:lineRule="auto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נעמי נצר </w:t>
      </w:r>
      <w:proofErr w:type="spellStart"/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>לוינשטיין</w:t>
      </w:r>
      <w:proofErr w:type="spellEnd"/>
      <w:r w:rsidR="00E05EAF" w:rsidRPr="00AA5261">
        <w:rPr>
          <w:rFonts w:asciiTheme="minorBidi" w:hAnsiTheme="minorBidi" w:cstheme="minorBidi"/>
          <w:color w:val="002060"/>
          <w:sz w:val="24"/>
          <w:szCs w:val="24"/>
          <w:u w:val="single"/>
          <w:rtl/>
        </w:rPr>
        <w:t>-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שלוחת ים חפר, שלוחת מרכז חפר </w:t>
      </w:r>
      <w:hyperlink r:id="rId15" w:history="1">
        <w:r w:rsidRPr="00AA5261">
          <w:rPr>
            <w:rStyle w:val="Hyperlink"/>
            <w:rFonts w:asciiTheme="minorBidi" w:hAnsiTheme="minorBidi" w:cstheme="minorBidi"/>
            <w:color w:val="002060"/>
            <w:sz w:val="24"/>
            <w:szCs w:val="24"/>
          </w:rPr>
          <w:t>neomin@hefer.org.il</w:t>
        </w:r>
      </w:hyperlink>
    </w:p>
    <w:p w:rsidR="00E05EAF" w:rsidRPr="00AA5261" w:rsidRDefault="00E05EAF" w:rsidP="00E06A6C">
      <w:pPr>
        <w:bidi/>
        <w:spacing w:line="240" w:lineRule="auto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  <w:rtl/>
        </w:rPr>
      </w:pPr>
    </w:p>
    <w:p w:rsidR="00DC2EFC" w:rsidRPr="00AA5261" w:rsidRDefault="00DC2EFC" w:rsidP="00E06A6C">
      <w:pPr>
        <w:bidi/>
        <w:spacing w:line="240" w:lineRule="auto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AA5261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משרד מרכז הקשר וההכוון לגיל השלישי – נמצא במרכז הקהילתי האזורי, </w:t>
      </w:r>
      <w:r w:rsidR="00E05EAF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אתם מוז</w:t>
      </w:r>
      <w:r w:rsidR="00FE51DA" w:rsidRPr="00AA5261">
        <w:rPr>
          <w:rFonts w:asciiTheme="minorBidi" w:hAnsiTheme="minorBidi" w:cstheme="minorBidi"/>
          <w:color w:val="002060"/>
          <w:sz w:val="24"/>
          <w:szCs w:val="24"/>
          <w:rtl/>
        </w:rPr>
        <w:t>מנים לפנות אלינו בכל שאלה ובקשה בטלפון: 09-8981632</w:t>
      </w:r>
      <w:r w:rsidR="00F52D08" w:rsidRPr="00AA5261">
        <w:rPr>
          <w:rFonts w:asciiTheme="minorBidi" w:hAnsiTheme="minorBidi" w:cstheme="minorBidi" w:hint="cs"/>
          <w:color w:val="002060"/>
          <w:sz w:val="24"/>
          <w:szCs w:val="24"/>
          <w:rtl/>
        </w:rPr>
        <w:t>.</w:t>
      </w:r>
    </w:p>
    <w:p w:rsidR="00DC2EFC" w:rsidRPr="00383BA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C2EFC" w:rsidRPr="00383BA1" w:rsidRDefault="00DC2EFC" w:rsidP="00E06A6C">
      <w:pPr>
        <w:bidi/>
        <w:spacing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A35069" w:rsidRPr="00383BA1" w:rsidRDefault="00A35069" w:rsidP="00E05EAF">
      <w:pPr>
        <w:bidi/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A35069" w:rsidRPr="00383BA1" w:rsidSect="006537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E4" w:rsidRDefault="008105E4" w:rsidP="00F30912">
      <w:pPr>
        <w:spacing w:line="240" w:lineRule="auto"/>
      </w:pPr>
      <w:r>
        <w:separator/>
      </w:r>
    </w:p>
  </w:endnote>
  <w:endnote w:type="continuationSeparator" w:id="0">
    <w:p w:rsidR="008105E4" w:rsidRDefault="008105E4" w:rsidP="00F30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12" w:rsidRDefault="00F309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12" w:rsidRPr="00F30912" w:rsidRDefault="00F30912" w:rsidP="00F30912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CD0B3A" wp14:editId="1C34A928">
          <wp:simplePos x="0" y="0"/>
          <wp:positionH relativeFrom="column">
            <wp:posOffset>-1085850</wp:posOffset>
          </wp:positionH>
          <wp:positionV relativeFrom="paragraph">
            <wp:posOffset>86995</wp:posOffset>
          </wp:positionV>
          <wp:extent cx="2533015" cy="458470"/>
          <wp:effectExtent l="0" t="0" r="0" b="0"/>
          <wp:wrapNone/>
          <wp:docPr id="10" name="Picture 2" descr="http://ccenter/2016/פרסום/חוברת%20%20המרכז%20הקהילתי/דצמבר/תמונות/לוגו%20ביטוח%20לאומי-כנס%20פריש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http://ccenter/2016/פרסום/חוברת%20%20המרכז%20הקהילתי/דצמבר/תמונות/לוגו%20ביטוח%20לאומי-כנס%20פריש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4A2B64" wp14:editId="576F5638">
          <wp:simplePos x="0" y="0"/>
          <wp:positionH relativeFrom="column">
            <wp:posOffset>1000125</wp:posOffset>
          </wp:positionH>
          <wp:positionV relativeFrom="paragraph">
            <wp:posOffset>1905</wp:posOffset>
          </wp:positionV>
          <wp:extent cx="2021840" cy="600075"/>
          <wp:effectExtent l="0" t="0" r="0" b="0"/>
          <wp:wrapNone/>
          <wp:docPr id="1030" name="Picture 6" descr="http://ccenter/2016/פרסום/חוברת%20%20המרכז%20הקהילתי/דצמבר/תמונות/לוגו%20רשות%20ההון-כנס%20פריש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ccenter/2016/פרסום/חוברת%20%20המרכז%20הקהילתי/דצמבר/תמונות/לוגו%20רשות%20ההון-כנס%20פרישה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000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54B99B4" wp14:editId="205475CB">
          <wp:simplePos x="0" y="0"/>
          <wp:positionH relativeFrom="column">
            <wp:posOffset>3114675</wp:posOffset>
          </wp:positionH>
          <wp:positionV relativeFrom="paragraph">
            <wp:posOffset>-160655</wp:posOffset>
          </wp:positionV>
          <wp:extent cx="584835" cy="760095"/>
          <wp:effectExtent l="0" t="0" r="5715" b="1905"/>
          <wp:wrapNone/>
          <wp:docPr id="2" name="Picture 2" descr="תוצאת תמונה עבור המשרד לשוויון חברתי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תוצאת תמונה עבור המשרד לשוויון חברתי\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7600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337B9B2" wp14:editId="6BDBD068">
          <wp:simplePos x="0" y="0"/>
          <wp:positionH relativeFrom="column">
            <wp:posOffset>3864610</wp:posOffset>
          </wp:positionH>
          <wp:positionV relativeFrom="paragraph">
            <wp:posOffset>86995</wp:posOffset>
          </wp:positionV>
          <wp:extent cx="2369820" cy="412115"/>
          <wp:effectExtent l="0" t="0" r="0" b="6985"/>
          <wp:wrapNone/>
          <wp:docPr id="1028" name="Picture 4" descr="http://ccenter/2016/פרסום/חוברת%20%20המרכז%20הקהילתי/דצמבר/תמונות/לוגו%20גוינט%20ישראל-כנס%20פריש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ccenter/2016/פרסום/חוברת%20%20המרכז%20הקהילתי/דצמבר/תמונות/לוגו%20גוינט%20ישראל-כנס%20פרישה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4121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12" w:rsidRDefault="00F30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E4" w:rsidRDefault="008105E4" w:rsidP="00F30912">
      <w:pPr>
        <w:spacing w:line="240" w:lineRule="auto"/>
      </w:pPr>
      <w:r>
        <w:separator/>
      </w:r>
    </w:p>
  </w:footnote>
  <w:footnote w:type="continuationSeparator" w:id="0">
    <w:p w:rsidR="008105E4" w:rsidRDefault="008105E4" w:rsidP="00F30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12" w:rsidRDefault="00F309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12" w:rsidRDefault="00F30912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EC25E" wp14:editId="67537A2B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718554" cy="63299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54" cy="632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882C4BA" wp14:editId="1BC1C5C6">
          <wp:simplePos x="0" y="0"/>
          <wp:positionH relativeFrom="column">
            <wp:posOffset>4000500</wp:posOffset>
          </wp:positionH>
          <wp:positionV relativeFrom="paragraph">
            <wp:posOffset>-87630</wp:posOffset>
          </wp:positionV>
          <wp:extent cx="1423135" cy="475528"/>
          <wp:effectExtent l="0" t="0" r="5715" b="1270"/>
          <wp:wrapNone/>
          <wp:docPr id="12" name="Picture 2" descr="C:\Users\dafna\Desktop\לוגו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dafna\Desktop\לוגו\Hefer 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35" cy="4755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12" w:rsidRDefault="00F309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30B"/>
    <w:multiLevelType w:val="multilevel"/>
    <w:tmpl w:val="788A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4349"/>
    <w:multiLevelType w:val="hybridMultilevel"/>
    <w:tmpl w:val="26E4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1410"/>
    <w:multiLevelType w:val="hybridMultilevel"/>
    <w:tmpl w:val="9EC2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03919"/>
    <w:multiLevelType w:val="hybridMultilevel"/>
    <w:tmpl w:val="7D3C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80FCD"/>
    <w:multiLevelType w:val="hybridMultilevel"/>
    <w:tmpl w:val="5112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C"/>
    <w:rsid w:val="0030749B"/>
    <w:rsid w:val="00383BA1"/>
    <w:rsid w:val="0040424E"/>
    <w:rsid w:val="006537A0"/>
    <w:rsid w:val="008105E4"/>
    <w:rsid w:val="00A35069"/>
    <w:rsid w:val="00AA5261"/>
    <w:rsid w:val="00C92FA9"/>
    <w:rsid w:val="00DC2EFC"/>
    <w:rsid w:val="00E05EAF"/>
    <w:rsid w:val="00E06A6C"/>
    <w:rsid w:val="00ED30FB"/>
    <w:rsid w:val="00F30912"/>
    <w:rsid w:val="00F32DF5"/>
    <w:rsid w:val="00F52D08"/>
    <w:rsid w:val="00FB142E"/>
    <w:rsid w:val="00FB1570"/>
    <w:rsid w:val="00FD77A6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56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C"/>
    <w:pPr>
      <w:spacing w:after="0" w:line="480" w:lineRule="auto"/>
    </w:pPr>
    <w:rPr>
      <w:rFonts w:ascii="Arial" w:eastAsia="Calibri" w:hAnsi="Arial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A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6A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0912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0912"/>
    <w:rPr>
      <w:rFonts w:ascii="Arial" w:eastAsia="Calibri" w:hAnsi="Arial" w:cs="David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3091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0912"/>
    <w:rPr>
      <w:rFonts w:ascii="Arial" w:eastAsia="Calibri" w:hAnsi="Arial" w:cs="David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30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309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C"/>
    <w:pPr>
      <w:spacing w:after="0" w:line="480" w:lineRule="auto"/>
    </w:pPr>
    <w:rPr>
      <w:rFonts w:ascii="Arial" w:eastAsia="Calibri" w:hAnsi="Arial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A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6A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0912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0912"/>
    <w:rPr>
      <w:rFonts w:ascii="Arial" w:eastAsia="Calibri" w:hAnsi="Arial" w:cs="David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3091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0912"/>
    <w:rPr>
      <w:rFonts w:ascii="Arial" w:eastAsia="Calibri" w:hAnsi="Arial" w:cs="David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30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30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tib@hefer.org.i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motti60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amis@hefer.org.il" TargetMode="External"/><Relationship Id="rId5" Type="http://schemas.openxmlformats.org/officeDocument/2006/relationships/styles" Target="styles.xml"/><Relationship Id="rId15" Type="http://schemas.openxmlformats.org/officeDocument/2006/relationships/hyperlink" Target="mailto:neomin@hefer.org.i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osie14@walla.co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C871D6476885B49B3B236DD825BF405" ma:contentTypeVersion="0" ma:contentTypeDescription="צור מסמך חדש." ma:contentTypeScope="" ma:versionID="3115fbd3b2d10db71dcb84e1024271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26C79-FB64-4CB8-AA61-9CE93C996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B0C5E-08C0-48E6-874A-BC23CB6A4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2E03-6881-4A0A-A157-8D5BAC95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נעמי נצטר</dc:creator>
  <cp:lastModifiedBy>נעמי נצטר</cp:lastModifiedBy>
  <cp:revision>2</cp:revision>
  <cp:lastPrinted>2017-12-05T06:38:00Z</cp:lastPrinted>
  <dcterms:created xsi:type="dcterms:W3CDTF">2017-12-18T12:28:00Z</dcterms:created>
  <dcterms:modified xsi:type="dcterms:W3CDTF">2017-12-18T12:28:00Z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0x010100FC871D6476885B49B3B236DD825BF405</vt:lpwstr>
  </property>
</Properties>
</file>