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2"/>
        <w:tabs>
          <w:tab w:val="left" w:leader="none" w:pos="6129"/>
        </w:tabs>
        <w:ind w:left="7200"/>
        <w:jc w:val="both"/>
        <w:rPr>
          <w:rFonts w:ascii="Times New Roman" w:cs="Times New Roman" w:hAnsi="Times New Roman"/>
          <w:color w:val="00b050"/>
          <w:sz w:val="36"/>
          <w:szCs w:val="36"/>
          <w:rtl/>
        </w:rPr>
      </w:pPr>
      <w:r>
        <w:rPr>
          <w:rFonts w:ascii="Times New Roman" w:cs="Times New Roman" w:hAnsi="Times New Roman"/>
          <w:color w:val="00b050"/>
          <w:sz w:val="36"/>
          <w:szCs w:val="36"/>
          <w:rtl/>
        </w:rPr>
        <w:tab/>
      </w:r>
      <w:r>
        <w:rPr>
          <w:rFonts w:ascii="Times New Roman" w:cs="Times New Roman" w:hAnsi="Times New Roman" w:hint="cs"/>
          <w:color w:val="00b050"/>
          <w:sz w:val="36"/>
          <w:szCs w:val="36"/>
          <w:rtl/>
        </w:rPr>
        <w:t>23.1.19</w:t>
      </w:r>
    </w:p>
    <w:p>
      <w:pPr>
        <w:pStyle w:val="style2"/>
        <w:jc w:val="center"/>
        <w:rPr>
          <w:b/>
          <w:bCs/>
          <w:color w:val="00b050"/>
          <w:sz w:val="22"/>
          <w:szCs w:val="22"/>
          <w:u w:val="single"/>
          <w:rtl/>
        </w:rPr>
      </w:pP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פרוטוקול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 xml:space="preserve">  </w:t>
      </w:r>
      <w:r>
        <w:rPr>
          <w:rFonts w:ascii="Times New Roman" w:cs="Times New Roman" w:hAnsi="Times New Roman"/>
          <w:b/>
          <w:bCs/>
          <w:color w:val="00b050"/>
          <w:sz w:val="36"/>
          <w:szCs w:val="36"/>
          <w:u w:val="single"/>
          <w:rtl/>
        </w:rPr>
        <w:t>ישיבת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 xml:space="preserve"> ה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 xml:space="preserve">ועד 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3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/19</w:t>
      </w:r>
    </w:p>
    <w:p>
      <w:pPr>
        <w:pStyle w:val="style2"/>
        <w:jc w:val="both"/>
        <w:rPr>
          <w:b/>
          <w:bCs/>
          <w:sz w:val="8"/>
          <w:szCs w:val="8"/>
          <w:rtl/>
        </w:rPr>
      </w:pPr>
    </w:p>
    <w:p>
      <w:pPr>
        <w:pStyle w:val="style179"/>
        <w:spacing w:lineRule="auto" w:line="240"/>
        <w:ind w:left="360" w:hanging="36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/>
          <w:sz w:val="24"/>
          <w:szCs w:val="24"/>
          <w:rtl/>
        </w:rPr>
        <w:t xml:space="preserve">נוכחים: </w:t>
      </w:r>
      <w:r>
        <w:rPr>
          <w:rFonts w:ascii="Tahoma" w:cs="Tahoma" w:hAnsi="Tahoma"/>
          <w:sz w:val="24"/>
          <w:szCs w:val="24"/>
          <w:rtl/>
        </w:rPr>
        <w:t>צור שומן</w:t>
      </w:r>
      <w:r>
        <w:rPr>
          <w:rFonts w:ascii="Tahoma" w:cs="Tahoma" w:hAnsi="Tahoma" w:hint="cs"/>
          <w:sz w:val="24"/>
          <w:szCs w:val="24"/>
          <w:rtl/>
        </w:rPr>
        <w:t>,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טובה שביט,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 xml:space="preserve">יוסי ברסקה, </w:t>
      </w:r>
      <w:r>
        <w:rPr>
          <w:rFonts w:ascii="Tahoma" w:cs="Tahoma" w:hAnsi="Tahoma" w:hint="cs"/>
          <w:sz w:val="24"/>
          <w:szCs w:val="24"/>
          <w:rtl/>
        </w:rPr>
        <w:t xml:space="preserve">אמנון </w:t>
      </w:r>
      <w:r>
        <w:rPr>
          <w:rFonts w:ascii="Tahoma" w:cs="Tahoma" w:hAnsi="Tahoma" w:hint="cs"/>
          <w:sz w:val="24"/>
          <w:szCs w:val="24"/>
          <w:rtl/>
        </w:rPr>
        <w:t>רקובר</w:t>
      </w:r>
      <w:r>
        <w:rPr>
          <w:rFonts w:ascii="Tahoma" w:cs="Tahoma" w:hAnsi="Tahoma" w:hint="cs"/>
          <w:sz w:val="24"/>
          <w:szCs w:val="24"/>
          <w:rtl/>
        </w:rPr>
        <w:t>,</w:t>
      </w:r>
      <w:r>
        <w:rPr>
          <w:rFonts w:ascii="Tahoma" w:cs="Tahoma" w:hAnsi="Tahoma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 xml:space="preserve">יובל פרץ, אלכסנדר חומש </w:t>
      </w:r>
      <w:r>
        <w:rPr>
          <w:rFonts w:ascii="Tahoma" w:cs="Tahoma" w:hAnsi="Tahoma" w:hint="cs"/>
          <w:sz w:val="24"/>
          <w:szCs w:val="24"/>
          <w:rtl/>
        </w:rPr>
        <w:t>,</w:t>
      </w:r>
      <w:r>
        <w:rPr>
          <w:rFonts w:ascii="Tahoma" w:cs="Tahoma" w:hAnsi="Tahoma" w:hint="cs"/>
          <w:sz w:val="24"/>
          <w:szCs w:val="24"/>
          <w:rtl/>
        </w:rPr>
        <w:t>דיתי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רויניק</w:t>
      </w:r>
      <w:r>
        <w:rPr>
          <w:rFonts w:ascii="Tahoma" w:cs="Tahoma" w:hAnsi="Tahoma" w:hint="cs"/>
          <w:sz w:val="24"/>
          <w:szCs w:val="24"/>
          <w:rtl/>
        </w:rPr>
        <w:t xml:space="preserve">.   </w:t>
      </w:r>
    </w:p>
    <w:p>
      <w:pPr>
        <w:pStyle w:val="style179"/>
        <w:spacing w:lineRule="auto" w:line="240"/>
        <w:ind w:left="360" w:hanging="36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>מוזמנים: קרין מאיר, גילי לוי.</w:t>
      </w:r>
    </w:p>
    <w:p>
      <w:pPr>
        <w:pStyle w:val="style0"/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>סדר היום: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/>
          <w:sz w:val="24"/>
          <w:szCs w:val="24"/>
          <w:rtl/>
        </w:rPr>
        <w:t xml:space="preserve">אשור פרוטוקול </w:t>
      </w:r>
      <w:r>
        <w:rPr>
          <w:rFonts w:ascii="Tahoma" w:cs="Tahoma" w:hAnsi="Tahoma" w:hint="cs"/>
          <w:sz w:val="24"/>
          <w:szCs w:val="24"/>
          <w:rtl/>
        </w:rPr>
        <w:t>2.19 אושר.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סקירת ועדות.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כל יושבי ראש הועדות אוישו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מבוצע תאום ציפיות עם הועדות ע"י דתי וצור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 xml:space="preserve">יבנה </w:t>
      </w:r>
      <w:r>
        <w:rPr>
          <w:rFonts w:ascii="Tahoma" w:cs="Tahoma" w:hAnsi="Tahoma" w:hint="cs"/>
          <w:sz w:val="24"/>
          <w:szCs w:val="24"/>
          <w:rtl/>
        </w:rPr>
        <w:t>תוכנית</w:t>
      </w:r>
      <w:r>
        <w:rPr>
          <w:rFonts w:ascii="Tahoma" w:cs="Tahoma" w:hAnsi="Tahoma" w:hint="cs"/>
          <w:sz w:val="24"/>
          <w:szCs w:val="24"/>
          <w:rtl/>
        </w:rPr>
        <w:t xml:space="preserve"> הכשרה ותאום ציפיות </w:t>
      </w:r>
      <w:r>
        <w:rPr>
          <w:rFonts w:ascii="Tahoma" w:cs="Tahoma" w:hAnsi="Tahoma" w:hint="cs"/>
          <w:sz w:val="24"/>
          <w:szCs w:val="24"/>
          <w:rtl/>
        </w:rPr>
        <w:t>ביןו</w:t>
      </w:r>
      <w:r>
        <w:rPr>
          <w:rFonts w:ascii="Tahoma" w:cs="Tahoma" w:hAnsi="Tahoma" w:hint="cs"/>
          <w:sz w:val="24"/>
          <w:szCs w:val="24"/>
          <w:rtl/>
        </w:rPr>
        <w:t xml:space="preserve"> הועד לראשי הועדות בהנחיתו של אלון קוטב.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/>
          <w:sz w:val="24"/>
          <w:szCs w:val="24"/>
          <w:rtl/>
        </w:rPr>
        <w:t xml:space="preserve">סקירת כספים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נסקר המצב השוטף והתנהלות התקינה של תזרים המזומנים. ע"י יוסי ברסקה.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/>
          <w:sz w:val="24"/>
          <w:szCs w:val="24"/>
          <w:rtl/>
        </w:rPr>
        <w:t>מעקב ביצוע-</w:t>
      </w:r>
      <w:r>
        <w:rPr>
          <w:rFonts w:ascii="Tahoma" w:cs="Tahoma" w:hAnsi="Tahoma" w:hint="cs"/>
          <w:sz w:val="24"/>
          <w:szCs w:val="24"/>
          <w:rtl/>
        </w:rPr>
        <w:t>בוצע דיון וביקורת סעיפי החלטות ישיבו קודמות.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/>
          <w:sz w:val="24"/>
          <w:szCs w:val="24"/>
          <w:rtl/>
        </w:rPr>
        <w:t>ה</w:t>
      </w:r>
      <w:r>
        <w:rPr>
          <w:rFonts w:ascii="Tahoma" w:cs="Tahoma" w:hAnsi="Tahoma" w:hint="cs"/>
          <w:sz w:val="24"/>
          <w:szCs w:val="24"/>
          <w:rtl/>
        </w:rPr>
        <w:t xml:space="preserve">וצגו העקרונות המנחים של התוכנית השנתית ע"י דתי. יובל יסייע </w:t>
      </w:r>
      <w:r>
        <w:rPr>
          <w:rFonts w:ascii="Tahoma" w:cs="Tahoma" w:hAnsi="Tahoma" w:hint="cs"/>
          <w:sz w:val="24"/>
          <w:szCs w:val="24"/>
          <w:rtl/>
        </w:rPr>
        <w:t>לדיתי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בהבנית</w:t>
      </w:r>
      <w:r>
        <w:rPr>
          <w:rFonts w:ascii="Tahoma" w:cs="Tahoma" w:hAnsi="Tahoma" w:hint="cs"/>
          <w:sz w:val="24"/>
          <w:szCs w:val="24"/>
          <w:rtl/>
        </w:rPr>
        <w:t xml:space="preserve"> התוכנית המעשית להגשמת היעדים.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הצעת בועז מקלר לבדיקת זיכויי הקרן להיטל השבחה.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הוצג נושא החזרת 6% מהיטל ההשבחה שחוזר עקרונית דרך המועצה </w:t>
      </w:r>
      <w:r>
        <w:rPr>
          <w:rFonts w:ascii="Tahoma" w:cs="Tahoma" w:hAnsi="Tahoma" w:hint="cs"/>
          <w:sz w:val="24"/>
          <w:szCs w:val="24"/>
          <w:rtl/>
        </w:rPr>
        <w:t>לועד</w:t>
      </w:r>
      <w:r>
        <w:rPr>
          <w:rFonts w:ascii="Tahoma" w:cs="Tahoma" w:hAnsi="Tahoma" w:hint="cs"/>
          <w:sz w:val="24"/>
          <w:szCs w:val="24"/>
          <w:rtl/>
        </w:rPr>
        <w:t xml:space="preserve"> המקומי. אין דרך אפקטיבית לבצע את המעקב והכספים כנראה אינם מגיעים במלואם.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 xml:space="preserve">\הוחלט לקבל </w:t>
      </w:r>
      <w:r>
        <w:rPr>
          <w:rFonts w:ascii="Tahoma" w:cs="Tahoma" w:hAnsi="Tahoma" w:hint="cs"/>
          <w:sz w:val="24"/>
          <w:szCs w:val="24"/>
          <w:rtl/>
        </w:rPr>
        <w:t>הצעהמדוודה</w:t>
      </w:r>
      <w:r>
        <w:rPr>
          <w:rFonts w:ascii="Tahoma" w:cs="Tahoma" w:hAnsi="Tahoma" w:hint="cs"/>
          <w:sz w:val="24"/>
          <w:szCs w:val="24"/>
          <w:rtl/>
        </w:rPr>
        <w:t xml:space="preserve"> ואם ניתן אחוז מהצלחה ממשרד </w:t>
      </w:r>
      <w:r>
        <w:rPr>
          <w:rFonts w:ascii="Tahoma" w:cs="Tahoma" w:hAnsi="Tahoma" w:hint="cs"/>
          <w:sz w:val="24"/>
          <w:szCs w:val="24"/>
          <w:rtl/>
        </w:rPr>
        <w:t>רואח</w:t>
      </w:r>
      <w:r>
        <w:rPr>
          <w:rFonts w:ascii="Tahoma" w:cs="Tahoma" w:hAnsi="Tahoma" w:hint="cs"/>
          <w:sz w:val="24"/>
          <w:szCs w:val="24"/>
          <w:rtl/>
        </w:rPr>
        <w:t xml:space="preserve"> מקלר. בביקור המתכונן של </w:t>
      </w:r>
      <w:r>
        <w:rPr>
          <w:rFonts w:ascii="Tahoma" w:cs="Tahoma" w:hAnsi="Tahoma" w:hint="cs"/>
          <w:sz w:val="24"/>
          <w:szCs w:val="24"/>
          <w:rtl/>
        </w:rPr>
        <w:t>של</w:t>
      </w:r>
      <w:r>
        <w:rPr>
          <w:rFonts w:ascii="Tahoma" w:cs="Tahoma" w:hAnsi="Tahoma" w:hint="cs"/>
          <w:sz w:val="24"/>
          <w:szCs w:val="24"/>
          <w:rtl/>
        </w:rPr>
        <w:t xml:space="preserve"> גזבר המועצה בשבוע הבא ילובן הנושא מול המועצה.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/>
          <w:sz w:val="24"/>
          <w:szCs w:val="24"/>
          <w:rtl/>
        </w:rPr>
        <w:t>וועדת ביקורת-</w:t>
      </w:r>
      <w:r>
        <w:rPr>
          <w:rFonts w:ascii="Tahoma" w:cs="Tahoma" w:hAnsi="Tahoma" w:hint="cs"/>
          <w:sz w:val="24"/>
          <w:szCs w:val="24"/>
          <w:rtl/>
        </w:rPr>
        <w:t xml:space="preserve"> הוחלט לזמנה למפגש ראשון לאחר הקמתה לתאום ציפיות ונהלי עבודה </w:t>
      </w:r>
      <w:r>
        <w:rPr>
          <w:rFonts w:ascii="Tahoma" w:cs="Tahoma" w:hAnsi="Tahoma" w:hint="cs"/>
          <w:sz w:val="24"/>
          <w:szCs w:val="24"/>
          <w:rtl/>
        </w:rPr>
        <w:t>שוטפיםן</w:t>
      </w:r>
      <w:r>
        <w:rPr>
          <w:rFonts w:ascii="Tahoma" w:cs="Tahoma" w:hAnsi="Tahoma" w:hint="cs"/>
          <w:sz w:val="24"/>
          <w:szCs w:val="24"/>
          <w:rtl/>
        </w:rPr>
        <w:t xml:space="preserve"> ביום  ד הקרוב בשעהב21.00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קול קורא גני משחקים.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 xml:space="preserve">הוצג הנושא ומורכבת הגשת המכרז ע"י </w:t>
      </w:r>
      <w:r>
        <w:rPr>
          <w:rFonts w:ascii="Tahoma" w:cs="Tahoma" w:hAnsi="Tahoma" w:hint="cs"/>
          <w:sz w:val="24"/>
          <w:szCs w:val="24"/>
          <w:rtl/>
        </w:rPr>
        <w:t>לכסי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 xml:space="preserve">הוחלט כי יוסי ירכז את </w:t>
      </w:r>
      <w:r>
        <w:rPr>
          <w:rFonts w:ascii="Tahoma" w:cs="Tahoma" w:hAnsi="Tahoma" w:hint="cs"/>
          <w:sz w:val="24"/>
          <w:szCs w:val="24"/>
          <w:rtl/>
        </w:rPr>
        <w:t>הפרוקיט</w:t>
      </w:r>
      <w:r>
        <w:rPr>
          <w:rFonts w:ascii="Tahoma" w:cs="Tahoma" w:hAnsi="Tahoma" w:hint="cs"/>
          <w:sz w:val="24"/>
          <w:szCs w:val="24"/>
          <w:rtl/>
        </w:rPr>
        <w:t xml:space="preserve"> לאור אחוז המימון הגבוה המתוכנן ( 20%) ולתכנן </w:t>
      </w:r>
      <w:r>
        <w:rPr>
          <w:rFonts w:ascii="Tahoma" w:cs="Tahoma" w:hAnsi="Tahoma" w:hint="cs"/>
          <w:sz w:val="24"/>
          <w:szCs w:val="24"/>
          <w:rtl/>
        </w:rPr>
        <w:t>פרוקיט</w:t>
      </w:r>
      <w:r>
        <w:rPr>
          <w:rFonts w:ascii="Tahoma" w:cs="Tahoma" w:hAnsi="Tahoma" w:hint="cs"/>
          <w:sz w:val="24"/>
          <w:szCs w:val="24"/>
          <w:rtl/>
        </w:rPr>
        <w:t xml:space="preserve"> עד 100 </w:t>
      </w:r>
      <w:r>
        <w:rPr>
          <w:rFonts w:ascii="Tahoma" w:cs="Tahoma" w:hAnsi="Tahoma" w:hint="cs"/>
          <w:sz w:val="24"/>
          <w:szCs w:val="24"/>
          <w:rtl/>
        </w:rPr>
        <w:t>אשח</w:t>
      </w:r>
      <w:r>
        <w:rPr>
          <w:rFonts w:ascii="Tahoma" w:cs="Tahoma" w:hAnsi="Tahoma" w:hint="cs"/>
          <w:sz w:val="24"/>
          <w:szCs w:val="24"/>
          <w:rtl/>
        </w:rPr>
        <w:t xml:space="preserve">. במידה ולא נצליח לעמוד בלוז הקצר יהוה </w:t>
      </w:r>
      <w:r>
        <w:rPr>
          <w:rFonts w:ascii="Tahoma" w:cs="Tahoma" w:hAnsi="Tahoma" w:hint="cs"/>
          <w:sz w:val="24"/>
          <w:szCs w:val="24"/>
          <w:rtl/>
        </w:rPr>
        <w:t>התיכנן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תוכנית</w:t>
      </w:r>
      <w:r>
        <w:rPr>
          <w:rFonts w:ascii="Tahoma" w:cs="Tahoma" w:hAnsi="Tahoma" w:hint="cs"/>
          <w:sz w:val="24"/>
          <w:szCs w:val="24"/>
          <w:rtl/>
        </w:rPr>
        <w:t xml:space="preserve"> מגירה למכרז הבא.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/>
          <w:sz w:val="24"/>
          <w:szCs w:val="24"/>
          <w:rtl/>
        </w:rPr>
        <w:t>צומת פרסה -רמת ישי.</w:t>
      </w:r>
      <w:r>
        <w:rPr>
          <w:rFonts w:ascii="Tahoma" w:cs="Tahoma" w:hAnsi="Tahoma" w:hint="cs"/>
          <w:sz w:val="24"/>
          <w:szCs w:val="24"/>
          <w:rtl/>
        </w:rPr>
        <w:t xml:space="preserve">- הוחלט להוסיף פס הרעדה מכיוון הפרסה </w:t>
      </w:r>
      <w:r>
        <w:rPr>
          <w:rFonts w:ascii="Tahoma" w:cs="Tahoma" w:hAnsi="Tahoma" w:hint="cs"/>
          <w:sz w:val="24"/>
          <w:szCs w:val="24"/>
          <w:rtl/>
        </w:rPr>
        <w:t>ססניה</w:t>
      </w:r>
      <w:r>
        <w:rPr>
          <w:rFonts w:ascii="Tahoma" w:cs="Tahoma" w:hAnsi="Tahoma" w:hint="cs"/>
          <w:sz w:val="24"/>
          <w:szCs w:val="24"/>
          <w:rtl/>
        </w:rPr>
        <w:t xml:space="preserve"> עצמית בעלות של עד 2000 שח' 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חריגות מנוהלים באיסוף גזם ע"י תושבים.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הוחלט להתריע בפני תושבים החורגים מיום האיסוף המוסכם.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>במידה ותהיה חריגה נוספת תוך 6 חודשים ע"י אותו תושב הועד יפנה לפיקוח המועצה להשטת הקנס הקבוע בתקנות המועצה.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שונות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הוחלט לבצע פינוי בוץ משולי המדרכות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 xml:space="preserve">הוחלט שצור יפנה </w:t>
      </w:r>
      <w:r>
        <w:rPr>
          <w:rFonts w:ascii="Tahoma" w:cs="Tahoma" w:hAnsi="Tahoma" w:hint="cs"/>
          <w:sz w:val="24"/>
          <w:szCs w:val="24"/>
          <w:rtl/>
        </w:rPr>
        <w:t>לועד</w:t>
      </w:r>
      <w:r>
        <w:rPr>
          <w:rFonts w:ascii="Tahoma" w:cs="Tahoma" w:hAnsi="Tahoma" w:hint="cs"/>
          <w:sz w:val="24"/>
          <w:szCs w:val="24"/>
          <w:rtl/>
        </w:rPr>
        <w:t xml:space="preserve"> אגודה </w:t>
      </w:r>
      <w:r>
        <w:rPr>
          <w:rFonts w:ascii="Tahoma" w:cs="Tahoma" w:hAnsi="Tahoma" w:hint="cs"/>
          <w:sz w:val="24"/>
          <w:szCs w:val="24"/>
          <w:rtl/>
        </w:rPr>
        <w:t>בענין</w:t>
      </w:r>
      <w:r>
        <w:rPr>
          <w:rFonts w:ascii="Tahoma" w:cs="Tahoma" w:hAnsi="Tahoma" w:hint="cs"/>
          <w:sz w:val="24"/>
          <w:szCs w:val="24"/>
          <w:rtl/>
        </w:rPr>
        <w:t xml:space="preserve"> נזקי דרך על יד תחנת הדלק וחניית משאית החלב.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דיתי</w:t>
      </w:r>
      <w:r>
        <w:rPr>
          <w:rFonts w:ascii="Tahoma" w:cs="Tahoma" w:hAnsi="Tahoma" w:hint="cs"/>
          <w:sz w:val="24"/>
          <w:szCs w:val="24"/>
          <w:rtl/>
        </w:rPr>
        <w:t xml:space="preserve"> תפעל לפינוי שאריות חג המעלות משטח הבריכה.</w:t>
      </w:r>
    </w:p>
    <w:p>
      <w:pPr>
        <w:pStyle w:val="style0"/>
        <w:spacing w:lineRule="auto" w:line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רשם: </w:t>
      </w:r>
      <w:r>
        <w:rPr>
          <w:rFonts w:hint="cs"/>
          <w:sz w:val="24"/>
          <w:szCs w:val="24"/>
          <w:rtl/>
        </w:rPr>
        <w:t>צור שומן</w:t>
      </w:r>
    </w:p>
    <w:sectPr>
      <w:headerReference w:type="default" r:id="rId2"/>
      <w:footerReference w:type="default" r:id="rId3"/>
      <w:pgSz w:w="11906" w:h="16838" w:orient="portrait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panose1 w:val="00000000000000000000"/>
    <w:charset w:val="b1"/>
    <w:family w:val="auto"/>
    <w:pitch w:val="variable"/>
    <w:sig w:usb0="00001801" w:usb1="00000000" w:usb2="00000000" w:usb3="00000000" w:csb0="00000020" w:csb1="00000000"/>
  </w:font>
  <w:font w:name="PMingLiU">
    <w:altName w:val="新細明體"/>
    <w:panose1 w:val="020106010000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>
        <w:b/>
        <w:bCs/>
        <w:color w:val="3b4a1e"/>
        <w:rtl/>
      </w:rPr>
    </w:pPr>
    <w:r>
      <w:rPr>
        <w:rFonts w:hint="cs"/>
        <w:b/>
        <w:bCs/>
        <w:color w:val="3b4a1e"/>
        <w:rtl/>
      </w:rPr>
      <w:t>_______________________________________________________________________</w:t>
    </w:r>
  </w:p>
  <w:p>
    <w:pPr>
      <w:pStyle w:val="style32"/>
      <w:rPr>
        <w:b/>
        <w:bCs/>
        <w:color w:val="39471d"/>
        <w:sz w:val="24"/>
        <w:szCs w:val="24"/>
      </w:rPr>
    </w:pPr>
    <w:r>
      <w:rPr>
        <w:rFonts w:hint="cs"/>
        <w:b/>
        <w:bCs/>
        <w:color w:val="4f6228"/>
        <w:rtl/>
      </w:rPr>
      <w:t xml:space="preserve">       </w:t>
    </w:r>
    <w:r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spacing w:after="0" w:lineRule="auto" w:line="240"/>
      <w:rPr>
        <w:rtl/>
      </w:rPr>
    </w:pPr>
    <w:r>
      <w:rPr>
        <w:noProof/>
        <w:lang w:eastAsia="zh-TW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5680710</wp:posOffset>
          </wp:positionH>
          <wp:positionV relativeFrom="paragraph">
            <wp:posOffset>-316864</wp:posOffset>
          </wp:positionV>
          <wp:extent cx="800100" cy="800100"/>
          <wp:effectExtent l="0" t="0" r="0" b="0"/>
          <wp:wrapNone/>
          <wp:docPr id="4097" name="Picture 3" descr="Image result for â«×××©× ×××ª ×©×¢×¨××â¬â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 xml:space="preserve">              </w:t>
    </w:r>
    <w:r>
      <w:rPr>
        <w:rFonts w:hint="cs"/>
        <w:noProof/>
        <w:color w:val="00b050"/>
        <w:rtl/>
      </w:rPr>
      <w:t>להפצה לידיעת הציבור</w:t>
    </w:r>
    <w:r>
      <w:rPr>
        <w:rFonts w:hint="cs"/>
        <w:noProof/>
        <w:color w:val="00b050"/>
        <w:rtl/>
      </w:rPr>
      <w:t xml:space="preserve">               </w:t>
    </w:r>
    <w:r>
      <w:rPr>
        <w:rFonts w:hint="cs"/>
        <w:color w:val="00b050"/>
        <w:rtl/>
      </w:rPr>
      <w:t xml:space="preserve">    </w:t>
    </w:r>
  </w:p>
  <w:p>
    <w:pPr>
      <w:pStyle w:val="style0"/>
      <w:spacing w:after="0" w:lineRule="auto" w:line="240"/>
      <w:jc w:val="center"/>
      <w:rPr>
        <w:color w:val="303c18"/>
        <w:sz w:val="40"/>
        <w:szCs w:val="40"/>
      </w:rPr>
    </w:pPr>
    <w:r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AA46E4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0000003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00000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0000007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000000B"/>
    <w:multiLevelType w:val="hybridMultilevel"/>
    <w:tmpl w:val="C5CA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000000D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bidi="he-I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lang w:val="en-US" w:bidi="he-IL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bidi/>
      <w:spacing w:after="200" w:lineRule="auto" w:line="276"/>
    </w:pPr>
    <w:rPr>
      <w:sz w:val="22"/>
      <w:szCs w:val="22"/>
    </w:rPr>
  </w:style>
  <w:style w:type="paragraph" w:styleId="style1">
    <w:name w:val="heading 1"/>
    <w:basedOn w:val="style0"/>
    <w:next w:val="style0"/>
    <w:link w:val="style4100"/>
    <w:qFormat/>
    <w:pPr>
      <w:keepNext/>
      <w:spacing w:after="0" w:lineRule="auto" w:line="240"/>
      <w:jc w:val="center"/>
      <w:outlineLvl w:val="0"/>
    </w:pPr>
    <w:rPr>
      <w:rFonts w:ascii="Tahoma" w:cs="Avigail" w:eastAsia="Times New Roman" w:hAnsi="Tahoma"/>
      <w:b/>
      <w:bCs/>
      <w:noProof/>
      <w:color w:val="0000ff"/>
      <w:sz w:val="96"/>
      <w:szCs w:val="96"/>
    </w:rPr>
  </w:style>
  <w:style w:type="paragraph" w:styleId="style2">
    <w:name w:val="heading 2"/>
    <w:basedOn w:val="style0"/>
    <w:next w:val="style0"/>
    <w:link w:val="style4101"/>
    <w:qFormat/>
    <w:pPr>
      <w:keepNext/>
      <w:spacing w:after="0" w:lineRule="auto" w:line="240"/>
      <w:outlineLvl w:val="1"/>
    </w:pPr>
    <w:rPr>
      <w:rFonts w:ascii="Tahoma" w:cs="Tahoma" w:eastAsia="Times New Roman" w:hAnsi="Tahoma"/>
      <w:noProof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טקסט בלונים תו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כותרת עליונה תו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9">
    <w:name w:val="כותרת תחתונה תו"/>
    <w:basedOn w:val="style65"/>
    <w:next w:val="style4099"/>
    <w:link w:val="style32"/>
    <w:uiPriority w:val="99"/>
  </w:style>
  <w:style w:type="paragraph" w:styleId="style94">
    <w:name w:val="Normal (Web)"/>
    <w:basedOn w:val="style0"/>
    <w:next w:val="style94"/>
    <w:uiPriority w:val="99"/>
    <w:pPr>
      <w:bidi w:val="false"/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0">
    <w:name w:val="כותרת 1 תו"/>
    <w:basedOn w:val="style65"/>
    <w:next w:val="style4100"/>
    <w:link w:val="style1"/>
    <w:rPr>
      <w:rFonts w:ascii="Tahoma" w:cs="Avigail" w:eastAsia="Times New Roman" w:hAnsi="Tahoma"/>
      <w:b/>
      <w:bCs/>
      <w:noProof/>
      <w:color w:val="0000ff"/>
      <w:sz w:val="96"/>
      <w:szCs w:val="96"/>
    </w:rPr>
  </w:style>
  <w:style w:type="character" w:customStyle="1" w:styleId="style4101">
    <w:name w:val="כותרת 2 תו"/>
    <w:basedOn w:val="style65"/>
    <w:next w:val="style4101"/>
    <w:link w:val="style2"/>
    <w:rPr>
      <w:rFonts w:ascii="Tahoma" w:cs="Tahoma" w:eastAsia="Times New Roman" w:hAnsi="Tahoma"/>
      <w:noProof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40FB-02DE-4787-A1A2-DC4F4453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305</Words>
  <Characters>1542</Characters>
  <Application>WPS Office</Application>
  <DocSecurity>0</DocSecurity>
  <Paragraphs>35</Paragraphs>
  <ScaleCrop>false</ScaleCrop>
  <LinksUpToDate>false</LinksUpToDate>
  <CharactersWithSpaces>1897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2019-01-25T07:15:04Z</dcterms:created>
  <dc:creator>bb</dc:creator>
  <lastModifiedBy>Redmi 5 Plus</lastModifiedBy>
  <lastPrinted>2019-01-17T10:16:00Z</lastPrinted>
  <dcterms:modified xsi:type="dcterms:W3CDTF">2019-01-25T07:15:04Z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