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rPr/>
      </w:pPr>
      <w:r w:rsidDel="00000000" w:rsidR="00000000" w:rsidRPr="00000000">
        <w:rPr>
          <w:rtl w:val="1"/>
        </w:rPr>
        <w:t xml:space="preserve">קהילת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היקרה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ולמבוגרים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וותיקי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מהמפגשים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הצהריים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בט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ושימחו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הוותיקים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מצרפות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מקסימה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לעדכנכם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570865</wp:posOffset>
            </wp:positionH>
            <wp:positionV relativeFrom="paragraph">
              <wp:posOffset>5080</wp:posOffset>
            </wp:positionV>
            <wp:extent cx="4555490" cy="256222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2562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בברכה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וועדת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לורבל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רויניק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צהרי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רקובר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זרחיה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ברקוביץ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עפרוני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אודליה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ארז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הרך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יעל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גננת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הגן</w:t>
      </w:r>
      <w:r w:rsidDel="00000000" w:rsidR="00000000" w:rsidRPr="00000000">
        <w:rPr>
          <w:rtl w:val="1"/>
        </w:rPr>
        <w:t xml:space="preserve">. 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2019-02-13T12:37:00Z</dcterms:created>
  <dc:creator>אודליה ארז</dc:creator>
</cp:coreProperties>
</file>