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CBA" w:rsidRPr="00A20B83" w:rsidRDefault="00221CBA" w:rsidP="00221CBA">
      <w:pPr>
        <w:shd w:val="clear" w:color="auto" w:fill="FFFFFF"/>
        <w:spacing w:after="90" w:line="240" w:lineRule="auto"/>
        <w:jc w:val="center"/>
        <w:rPr>
          <w:rFonts w:ascii="inherit" w:eastAsia="Times New Roman" w:hAnsi="inherit" w:cs="Helvetica"/>
          <w:b/>
          <w:bCs/>
          <w:color w:val="1D2129"/>
          <w:sz w:val="28"/>
          <w:szCs w:val="28"/>
          <w:u w:val="single"/>
        </w:rPr>
      </w:pPr>
      <w:r w:rsidRPr="00A20B83">
        <w:rPr>
          <w:rFonts w:ascii="inherit" w:eastAsia="Times New Roman" w:hAnsi="inherit" w:cs="Helvetica"/>
          <w:b/>
          <w:bCs/>
          <w:color w:val="1D2129"/>
          <w:sz w:val="28"/>
          <w:szCs w:val="28"/>
          <w:u w:val="single"/>
          <w:rtl/>
        </w:rPr>
        <w:t>מורה נבוכים לאגודה הקהילתית / עו"ד ירון רז</w:t>
      </w:r>
    </w:p>
    <w:p w:rsidR="00221CBA" w:rsidRDefault="00221CBA" w:rsidP="00FD39D7">
      <w:pPr>
        <w:shd w:val="clear" w:color="auto" w:fill="FFFFFF"/>
        <w:spacing w:after="30" w:line="240" w:lineRule="auto"/>
        <w:textAlignment w:val="center"/>
        <w:outlineLvl w:val="4"/>
        <w:rPr>
          <w:rFonts w:ascii="inherit" w:eastAsia="Times New Roman" w:hAnsi="inherit" w:cs="Helvetica"/>
          <w:b/>
          <w:bCs/>
          <w:color w:val="616770"/>
          <w:sz w:val="21"/>
          <w:szCs w:val="21"/>
        </w:rPr>
      </w:pPr>
    </w:p>
    <w:p w:rsidR="00221CBA" w:rsidRDefault="00221CBA" w:rsidP="00FD39D7">
      <w:pPr>
        <w:shd w:val="clear" w:color="auto" w:fill="FFFFFF"/>
        <w:spacing w:after="30" w:line="240" w:lineRule="auto"/>
        <w:textAlignment w:val="center"/>
        <w:outlineLvl w:val="4"/>
        <w:rPr>
          <w:rFonts w:ascii="inherit" w:eastAsia="Times New Roman" w:hAnsi="inherit" w:cs="Helvetica"/>
          <w:b/>
          <w:bCs/>
          <w:color w:val="616770"/>
          <w:sz w:val="21"/>
          <w:szCs w:val="21"/>
        </w:rPr>
      </w:pPr>
    </w:p>
    <w:p w:rsidR="00FD39D7" w:rsidRPr="00FD39D7" w:rsidRDefault="00FD39D7" w:rsidP="00FD39D7">
      <w:pPr>
        <w:shd w:val="clear" w:color="auto" w:fill="FFFFFF"/>
        <w:spacing w:after="30" w:line="240" w:lineRule="auto"/>
        <w:textAlignment w:val="center"/>
        <w:outlineLvl w:val="4"/>
        <w:rPr>
          <w:rFonts w:ascii="inherit" w:eastAsia="Times New Roman" w:hAnsi="inherit" w:cs="Helvetica"/>
          <w:color w:val="1D2129"/>
          <w:sz w:val="21"/>
          <w:szCs w:val="21"/>
        </w:rPr>
      </w:pPr>
      <w:hyperlink r:id="rId4" w:history="1">
        <w:r w:rsidRPr="00FD39D7">
          <w:rPr>
            <w:rFonts w:ascii="inherit" w:eastAsia="Times New Roman" w:hAnsi="inherit" w:cs="Helvetica"/>
            <w:b/>
            <w:bCs/>
            <w:color w:val="365899"/>
            <w:sz w:val="21"/>
            <w:szCs w:val="21"/>
            <w:u w:val="single"/>
            <w:rtl/>
          </w:rPr>
          <w:t xml:space="preserve">ירון רז, </w:t>
        </w:r>
        <w:bookmarkStart w:id="0" w:name="_GoBack"/>
        <w:bookmarkEnd w:id="0"/>
        <w:r w:rsidRPr="00FD39D7">
          <w:rPr>
            <w:rFonts w:ascii="inherit" w:eastAsia="Times New Roman" w:hAnsi="inherit" w:cs="Helvetica"/>
            <w:b/>
            <w:bCs/>
            <w:color w:val="365899"/>
            <w:sz w:val="21"/>
            <w:szCs w:val="21"/>
            <w:u w:val="single"/>
            <w:rtl/>
          </w:rPr>
          <w:t>ע</w:t>
        </w:r>
        <w:r w:rsidRPr="00FD39D7">
          <w:rPr>
            <w:rFonts w:ascii="inherit" w:eastAsia="Times New Roman" w:hAnsi="inherit" w:cs="Helvetica"/>
            <w:b/>
            <w:bCs/>
            <w:color w:val="365899"/>
            <w:sz w:val="21"/>
            <w:szCs w:val="21"/>
            <w:u w:val="single"/>
            <w:rtl/>
          </w:rPr>
          <w:t>ורך-דין</w:t>
        </w:r>
      </w:hyperlink>
    </w:p>
    <w:p w:rsidR="00FD39D7" w:rsidRPr="00A20B83" w:rsidRDefault="00370FBB" w:rsidP="00FD39D7">
      <w:pPr>
        <w:shd w:val="clear" w:color="auto" w:fill="FFFFFF"/>
        <w:spacing w:after="0" w:line="240" w:lineRule="auto"/>
        <w:textAlignment w:val="center"/>
        <w:rPr>
          <w:rFonts w:ascii="inherit" w:eastAsia="Times New Roman" w:hAnsi="inherit" w:cs="Helvetica"/>
          <w:color w:val="616770"/>
          <w:sz w:val="28"/>
          <w:szCs w:val="28"/>
        </w:rPr>
      </w:pPr>
      <w:hyperlink r:id="rId5" w:history="1">
        <w:r w:rsidR="00FD39D7" w:rsidRPr="00A20B83">
          <w:rPr>
            <w:rFonts w:ascii="inherit" w:eastAsia="Times New Roman" w:hAnsi="inherit" w:cs="Helvetica"/>
            <w:color w:val="616770"/>
            <w:sz w:val="28"/>
            <w:szCs w:val="28"/>
          </w:rPr>
          <w:t xml:space="preserve">17 </w:t>
        </w:r>
        <w:r w:rsidR="00FD39D7" w:rsidRPr="00A20B83">
          <w:rPr>
            <w:rFonts w:ascii="inherit" w:eastAsia="Times New Roman" w:hAnsi="inherit" w:cs="Helvetica"/>
            <w:color w:val="616770"/>
            <w:sz w:val="28"/>
            <w:szCs w:val="28"/>
            <w:rtl/>
          </w:rPr>
          <w:t>בפברואר 2014</w:t>
        </w:r>
      </w:hyperlink>
      <w:r w:rsidR="00FD39D7" w:rsidRPr="00A20B83">
        <w:rPr>
          <w:rFonts w:ascii="inherit" w:eastAsia="Times New Roman" w:hAnsi="inherit" w:cs="Helvetica"/>
          <w:color w:val="616770"/>
          <w:sz w:val="28"/>
          <w:szCs w:val="28"/>
        </w:rPr>
        <w:t> ·</w:t>
      </w:r>
    </w:p>
    <w:p w:rsidR="00FD39D7" w:rsidRPr="00A20B83" w:rsidRDefault="00FD39D7" w:rsidP="00FD39D7">
      <w:pPr>
        <w:shd w:val="clear" w:color="auto" w:fill="FFFFFF"/>
        <w:spacing w:before="90" w:after="90" w:line="240" w:lineRule="auto"/>
        <w:rPr>
          <w:rFonts w:ascii="inherit" w:eastAsia="Times New Roman" w:hAnsi="inherit" w:cs="Helvetica"/>
          <w:color w:val="1D2129"/>
          <w:sz w:val="24"/>
          <w:szCs w:val="24"/>
        </w:rPr>
      </w:pPr>
      <w:r w:rsidRPr="00A20B83">
        <w:rPr>
          <w:rFonts w:ascii="inherit" w:eastAsia="Times New Roman" w:hAnsi="inherit" w:cs="Helvetica"/>
          <w:color w:val="1D2129"/>
          <w:sz w:val="24"/>
          <w:szCs w:val="24"/>
          <w:rtl/>
        </w:rPr>
        <w:t>רבים מן המשתכנים בהרחבות הקיבוצים והמושבים כלל אינם מודעים לכך שהם חברים באגודה שיתופית להתיישבות קהילתית. לשם קיצור אכנה אותה מכאן והלאה בשם "אגודה" או "אגודה קהילתית</w:t>
      </w:r>
      <w:r w:rsidRPr="00A20B83">
        <w:rPr>
          <w:rFonts w:ascii="inherit" w:eastAsia="Times New Roman" w:hAnsi="inherit" w:cs="Helvetica"/>
          <w:color w:val="1D2129"/>
          <w:sz w:val="24"/>
          <w:szCs w:val="24"/>
        </w:rPr>
        <w:t>". </w:t>
      </w:r>
      <w:r w:rsidRPr="00A20B83">
        <w:rPr>
          <w:rFonts w:ascii="inherit" w:eastAsia="Times New Roman" w:hAnsi="inherit" w:cs="Helvetica"/>
          <w:color w:val="1D2129"/>
          <w:sz w:val="24"/>
          <w:szCs w:val="24"/>
        </w:rPr>
        <w:br/>
      </w:r>
      <w:r w:rsidRPr="00A20B83">
        <w:rPr>
          <w:rFonts w:ascii="inherit" w:eastAsia="Times New Roman" w:hAnsi="inherit" w:cs="Helvetica"/>
          <w:color w:val="1D2129"/>
          <w:sz w:val="24"/>
          <w:szCs w:val="24"/>
          <w:rtl/>
        </w:rPr>
        <w:t>מאידך, אלו המודעים לחברותם באגודה שואלים: מדוע וכיצד נהייתי חבר אגודה? מה משמעות החברות באגודה זו? עבור מה דורשת ממני האגודה מיסים חודשיים? האם להמשיך להיות חבר באגודה? אם לא, האם ניתן לפרוש ממנה באופן חוקי? ואם אפרוש מהאגודה, מהן ההשלכות החברתיות של פרישה כזו</w:t>
      </w:r>
      <w:r w:rsidRPr="00A20B83">
        <w:rPr>
          <w:rFonts w:ascii="inherit" w:eastAsia="Times New Roman" w:hAnsi="inherit" w:cs="Helvetica"/>
          <w:color w:val="1D2129"/>
          <w:sz w:val="24"/>
          <w:szCs w:val="24"/>
        </w:rPr>
        <w:t>?</w:t>
      </w:r>
      <w:r w:rsidRPr="00A20B83">
        <w:rPr>
          <w:rFonts w:ascii="inherit" w:eastAsia="Times New Roman" w:hAnsi="inherit" w:cs="Helvetica"/>
          <w:color w:val="1D2129"/>
          <w:sz w:val="24"/>
          <w:szCs w:val="24"/>
        </w:rPr>
        <w:br/>
      </w:r>
      <w:r w:rsidRPr="00A20B83">
        <w:rPr>
          <w:rFonts w:ascii="inherit" w:eastAsia="Times New Roman" w:hAnsi="inherit" w:cs="Helvetica"/>
          <w:color w:val="1D2129"/>
          <w:sz w:val="24"/>
          <w:szCs w:val="24"/>
          <w:rtl/>
        </w:rPr>
        <w:t>במאמר קצר זה אבקש להבהיר נושא זה שמטריד כיום רבים מתושבי ההרחבות</w:t>
      </w:r>
      <w:r w:rsidRPr="00A20B83">
        <w:rPr>
          <w:rFonts w:ascii="inherit" w:eastAsia="Times New Roman" w:hAnsi="inherit" w:cs="Helvetica"/>
          <w:color w:val="1D2129"/>
          <w:sz w:val="24"/>
          <w:szCs w:val="24"/>
        </w:rPr>
        <w:t>. </w:t>
      </w:r>
      <w:r w:rsidRPr="00A20B83">
        <w:rPr>
          <w:rFonts w:ascii="inherit" w:eastAsia="Times New Roman" w:hAnsi="inherit" w:cs="Helvetica"/>
          <w:color w:val="1D2129"/>
          <w:sz w:val="24"/>
          <w:szCs w:val="24"/>
        </w:rPr>
        <w:br/>
      </w:r>
      <w:r w:rsidRPr="00A20B83">
        <w:rPr>
          <w:rFonts w:ascii="inherit" w:eastAsia="Times New Roman" w:hAnsi="inherit" w:cs="Helvetica"/>
          <w:color w:val="1D2129"/>
          <w:sz w:val="24"/>
          <w:szCs w:val="24"/>
          <w:rtl/>
        </w:rPr>
        <w:t>בעקבות העלייה המתמשכת בגילם הממוצע של חברי הקיבוצים והמושבים (במילים פחות מחמיאות, הזדקנות גרעין ההתיישבות העובדת) חיפשו יישובים אלו דרכים להצעיר ולחדש את חיי הקהילה. קליטת אוכלוסייה עירונית צעירה בתחומי היישובים הנ"ל נראתה לרבים אז כרעיון נכון ומבטיח לפתרון לבעיה הדמוגרפית שנוצרה</w:t>
      </w:r>
      <w:r w:rsidRPr="00A20B83">
        <w:rPr>
          <w:rFonts w:ascii="inherit" w:eastAsia="Times New Roman" w:hAnsi="inherit" w:cs="Helvetica"/>
          <w:color w:val="1D2129"/>
          <w:sz w:val="24"/>
          <w:szCs w:val="24"/>
        </w:rPr>
        <w:t>. </w:t>
      </w:r>
      <w:r w:rsidRPr="00A20B83">
        <w:rPr>
          <w:rFonts w:ascii="inherit" w:eastAsia="Times New Roman" w:hAnsi="inherit" w:cs="Helvetica"/>
          <w:color w:val="1D2129"/>
          <w:sz w:val="24"/>
          <w:szCs w:val="24"/>
        </w:rPr>
        <w:br/>
      </w:r>
      <w:r w:rsidRPr="00A20B83">
        <w:rPr>
          <w:rFonts w:ascii="inherit" w:eastAsia="Times New Roman" w:hAnsi="inherit" w:cs="Helvetica"/>
          <w:color w:val="1D2129"/>
          <w:sz w:val="24"/>
          <w:szCs w:val="24"/>
          <w:rtl/>
        </w:rPr>
        <w:t xml:space="preserve">אולם, לבקשת היישובים, העניק להם </w:t>
      </w:r>
      <w:proofErr w:type="spellStart"/>
      <w:r w:rsidRPr="00A20B83">
        <w:rPr>
          <w:rFonts w:ascii="inherit" w:eastAsia="Times New Roman" w:hAnsi="inherit" w:cs="Helvetica"/>
          <w:color w:val="1D2129"/>
          <w:sz w:val="24"/>
          <w:szCs w:val="24"/>
          <w:rtl/>
        </w:rPr>
        <w:t>המינהל</w:t>
      </w:r>
      <w:proofErr w:type="spellEnd"/>
      <w:r w:rsidRPr="00A20B83">
        <w:rPr>
          <w:rFonts w:ascii="inherit" w:eastAsia="Times New Roman" w:hAnsi="inherit" w:cs="Helvetica"/>
          <w:color w:val="1D2129"/>
          <w:sz w:val="24"/>
          <w:szCs w:val="24"/>
          <w:rtl/>
        </w:rPr>
        <w:t xml:space="preserve"> (בעל הקרקע) מעין "זכות המלצה חברתית". זכות זו נועדה לאפשר לכל יישוב להתאים את אוכלוסיית המשתכנים שיקלטו בהרחבה לאופיו וצרכיו החברתיים (למשל, משפחות צעירות עם ילדים). על כן, רק מועמד שמקבל את המלצת היישוב יכול לחכור </w:t>
      </w:r>
      <w:proofErr w:type="spellStart"/>
      <w:r w:rsidRPr="00A20B83">
        <w:rPr>
          <w:rFonts w:ascii="inherit" w:eastAsia="Times New Roman" w:hAnsi="inherit" w:cs="Helvetica"/>
          <w:color w:val="1D2129"/>
          <w:sz w:val="24"/>
          <w:szCs w:val="24"/>
          <w:rtl/>
        </w:rPr>
        <w:t>מהמינהל</w:t>
      </w:r>
      <w:proofErr w:type="spellEnd"/>
      <w:r w:rsidRPr="00A20B83">
        <w:rPr>
          <w:rFonts w:ascii="inherit" w:eastAsia="Times New Roman" w:hAnsi="inherit" w:cs="Helvetica"/>
          <w:color w:val="1D2129"/>
          <w:sz w:val="24"/>
          <w:szCs w:val="24"/>
          <w:rtl/>
        </w:rPr>
        <w:t xml:space="preserve"> קרקע לבניית בית בהרחבה</w:t>
      </w:r>
      <w:r w:rsidRPr="00A20B83">
        <w:rPr>
          <w:rFonts w:ascii="inherit" w:eastAsia="Times New Roman" w:hAnsi="inherit" w:cs="Helvetica"/>
          <w:color w:val="1D2129"/>
          <w:sz w:val="24"/>
          <w:szCs w:val="24"/>
        </w:rPr>
        <w:t>. </w:t>
      </w:r>
      <w:r w:rsidRPr="00A20B83">
        <w:rPr>
          <w:rFonts w:ascii="inherit" w:eastAsia="Times New Roman" w:hAnsi="inherit" w:cs="Helvetica"/>
          <w:color w:val="1D2129"/>
          <w:sz w:val="24"/>
          <w:szCs w:val="24"/>
        </w:rPr>
        <w:br/>
      </w:r>
      <w:r w:rsidRPr="00A20B83">
        <w:rPr>
          <w:rFonts w:ascii="inherit" w:eastAsia="Times New Roman" w:hAnsi="inherit" w:cs="Helvetica"/>
          <w:color w:val="1D2129"/>
          <w:sz w:val="24"/>
          <w:szCs w:val="24"/>
          <w:rtl/>
        </w:rPr>
        <w:t xml:space="preserve">אולם, תנאי בל יעבור העמיד </w:t>
      </w:r>
      <w:proofErr w:type="spellStart"/>
      <w:r w:rsidRPr="00A20B83">
        <w:rPr>
          <w:rFonts w:ascii="inherit" w:eastAsia="Times New Roman" w:hAnsi="inherit" w:cs="Helvetica"/>
          <w:color w:val="1D2129"/>
          <w:sz w:val="24"/>
          <w:szCs w:val="24"/>
          <w:rtl/>
        </w:rPr>
        <w:t>המינהל</w:t>
      </w:r>
      <w:proofErr w:type="spellEnd"/>
      <w:r w:rsidRPr="00A20B83">
        <w:rPr>
          <w:rFonts w:ascii="inherit" w:eastAsia="Times New Roman" w:hAnsi="inherit" w:cs="Helvetica"/>
          <w:color w:val="1D2129"/>
          <w:sz w:val="24"/>
          <w:szCs w:val="24"/>
          <w:rtl/>
        </w:rPr>
        <w:t xml:space="preserve"> לכל יישוב והוא - </w:t>
      </w:r>
      <w:r w:rsidRPr="00A20B83">
        <w:rPr>
          <w:rFonts w:ascii="inherit" w:eastAsia="Times New Roman" w:hAnsi="inherit" w:cs="Helvetica"/>
          <w:b/>
          <w:bCs/>
          <w:color w:val="1D2129"/>
          <w:sz w:val="24"/>
          <w:szCs w:val="24"/>
          <w:rtl/>
        </w:rPr>
        <w:t>שלא יתנה את מתן המלצתו בשום טובת הנאה כספית או שוות ערך</w:t>
      </w:r>
      <w:r w:rsidRPr="00A20B83">
        <w:rPr>
          <w:rFonts w:ascii="inherit" w:eastAsia="Times New Roman" w:hAnsi="inherit" w:cs="Helvetica"/>
          <w:color w:val="1D2129"/>
          <w:sz w:val="24"/>
          <w:szCs w:val="24"/>
          <w:rtl/>
        </w:rPr>
        <w:t xml:space="preserve">. </w:t>
      </w:r>
      <w:r w:rsidRPr="00A20B83">
        <w:rPr>
          <w:rFonts w:ascii="inherit" w:eastAsia="Times New Roman" w:hAnsi="inherit" w:cs="Helvetica"/>
          <w:b/>
          <w:bCs/>
          <w:color w:val="1D2129"/>
          <w:sz w:val="24"/>
          <w:szCs w:val="24"/>
          <w:rtl/>
        </w:rPr>
        <w:t>אחרי הכול, מדובר באדמות מדינה השייכות לציבור ואין מקום להתעשרות של גורמים פרטיים על חשבון הקופה הציבורית</w:t>
      </w:r>
      <w:r w:rsidRPr="00A20B83">
        <w:rPr>
          <w:rFonts w:ascii="inherit" w:eastAsia="Times New Roman" w:hAnsi="inherit" w:cs="Helvetica"/>
          <w:b/>
          <w:bCs/>
          <w:color w:val="1D2129"/>
          <w:sz w:val="24"/>
          <w:szCs w:val="24"/>
        </w:rPr>
        <w:t>. </w:t>
      </w:r>
      <w:r w:rsidRPr="00A20B83">
        <w:rPr>
          <w:rFonts w:ascii="inherit" w:eastAsia="Times New Roman" w:hAnsi="inherit" w:cs="Helvetica"/>
          <w:b/>
          <w:bCs/>
          <w:color w:val="1D2129"/>
          <w:sz w:val="24"/>
          <w:szCs w:val="24"/>
        </w:rPr>
        <w:br/>
      </w:r>
      <w:r w:rsidRPr="00A20B83">
        <w:rPr>
          <w:rFonts w:ascii="inherit" w:eastAsia="Times New Roman" w:hAnsi="inherit" w:cs="Helvetica"/>
          <w:color w:val="1D2129"/>
          <w:sz w:val="24"/>
          <w:szCs w:val="24"/>
          <w:rtl/>
        </w:rPr>
        <w:t>אף על פי כן, בפועל, כתנאי בל יעבור להמלצתם, דרשו יישובים רבים מכל מועמד שביקש לבנות את ביתו בהרחבת היישוב, לחתום על מסמך הצטרפות באמצעותו יביע את "רצונו" להצטרף לאגודה קהילתית. חשוב להבהיר כי, על פי רוב, היישוב לא הותיר ברירה בידי מועמד שרצה לבנות את ביתו בתחום ההרחבה, וכך צורף המועמד, בעל כורחו, לאגודה קהילתית שהקים היישוב</w:t>
      </w:r>
      <w:r w:rsidRPr="00A20B83">
        <w:rPr>
          <w:rFonts w:ascii="inherit" w:eastAsia="Times New Roman" w:hAnsi="inherit" w:cs="Helvetica"/>
          <w:color w:val="1D2129"/>
          <w:sz w:val="24"/>
          <w:szCs w:val="24"/>
        </w:rPr>
        <w:t>. </w:t>
      </w:r>
      <w:r w:rsidRPr="00A20B83">
        <w:rPr>
          <w:rFonts w:ascii="inherit" w:eastAsia="Times New Roman" w:hAnsi="inherit" w:cs="Helvetica"/>
          <w:color w:val="1D2129"/>
          <w:sz w:val="24"/>
          <w:szCs w:val="24"/>
        </w:rPr>
        <w:br/>
      </w:r>
      <w:r w:rsidRPr="00A20B83">
        <w:rPr>
          <w:rFonts w:ascii="inherit" w:eastAsia="Times New Roman" w:hAnsi="inherit" w:cs="Helvetica"/>
          <w:color w:val="1D2129"/>
          <w:sz w:val="24"/>
          <w:szCs w:val="24"/>
          <w:rtl/>
        </w:rPr>
        <w:t>מה משמעותו המשפטית של מעשה הצירוף</w:t>
      </w:r>
      <w:r w:rsidRPr="00A20B83">
        <w:rPr>
          <w:rFonts w:ascii="inherit" w:eastAsia="Times New Roman" w:hAnsi="inherit" w:cs="Helvetica"/>
          <w:color w:val="1D2129"/>
          <w:sz w:val="24"/>
          <w:szCs w:val="24"/>
        </w:rPr>
        <w:t>?</w:t>
      </w:r>
      <w:r w:rsidRPr="00A20B83">
        <w:rPr>
          <w:rFonts w:ascii="inherit" w:eastAsia="Times New Roman" w:hAnsi="inherit" w:cs="Helvetica"/>
          <w:color w:val="1D2129"/>
          <w:sz w:val="24"/>
          <w:szCs w:val="24"/>
        </w:rPr>
        <w:br/>
      </w:r>
      <w:r w:rsidRPr="00A20B83">
        <w:rPr>
          <w:rFonts w:ascii="inherit" w:eastAsia="Times New Roman" w:hAnsi="inherit" w:cs="Helvetica"/>
          <w:b/>
          <w:bCs/>
          <w:color w:val="1D2129"/>
          <w:sz w:val="24"/>
          <w:szCs w:val="24"/>
          <w:rtl/>
        </w:rPr>
        <w:t xml:space="preserve">יש לזכור כי אלמלא העניק </w:t>
      </w:r>
      <w:proofErr w:type="spellStart"/>
      <w:r w:rsidRPr="00A20B83">
        <w:rPr>
          <w:rFonts w:ascii="inherit" w:eastAsia="Times New Roman" w:hAnsi="inherit" w:cs="Helvetica"/>
          <w:b/>
          <w:bCs/>
          <w:color w:val="1D2129"/>
          <w:sz w:val="24"/>
          <w:szCs w:val="24"/>
          <w:rtl/>
        </w:rPr>
        <w:t>המינהל</w:t>
      </w:r>
      <w:proofErr w:type="spellEnd"/>
      <w:r w:rsidRPr="00A20B83">
        <w:rPr>
          <w:rFonts w:ascii="inherit" w:eastAsia="Times New Roman" w:hAnsi="inherit" w:cs="Helvetica"/>
          <w:b/>
          <w:bCs/>
          <w:color w:val="1D2129"/>
          <w:sz w:val="24"/>
          <w:szCs w:val="24"/>
          <w:rtl/>
        </w:rPr>
        <w:t xml:space="preserve"> ליישוב זכות המלצה חברתית היה </w:t>
      </w:r>
      <w:proofErr w:type="spellStart"/>
      <w:r w:rsidRPr="00A20B83">
        <w:rPr>
          <w:rFonts w:ascii="inherit" w:eastAsia="Times New Roman" w:hAnsi="inherit" w:cs="Helvetica"/>
          <w:b/>
          <w:bCs/>
          <w:color w:val="1D2129"/>
          <w:sz w:val="24"/>
          <w:szCs w:val="24"/>
          <w:rtl/>
        </w:rPr>
        <w:t>המינהל</w:t>
      </w:r>
      <w:proofErr w:type="spellEnd"/>
      <w:r w:rsidRPr="00A20B83">
        <w:rPr>
          <w:rFonts w:ascii="inherit" w:eastAsia="Times New Roman" w:hAnsi="inherit" w:cs="Helvetica"/>
          <w:b/>
          <w:bCs/>
          <w:color w:val="1D2129"/>
          <w:sz w:val="24"/>
          <w:szCs w:val="24"/>
          <w:rtl/>
        </w:rPr>
        <w:t xml:space="preserve"> משווק את קרקעות ההרחבה לציבור הרחב באמצעות מכרז פתוח</w:t>
      </w:r>
      <w:r w:rsidRPr="00A20B83">
        <w:rPr>
          <w:rFonts w:ascii="inherit" w:eastAsia="Times New Roman" w:hAnsi="inherit" w:cs="Helvetica"/>
          <w:color w:val="1D2129"/>
          <w:sz w:val="24"/>
          <w:szCs w:val="24"/>
          <w:rtl/>
        </w:rPr>
        <w:t xml:space="preserve">. במקרה כזה, יכול היה אדם לחכור קרקע בהרחבת היישוב מבלי שיידרש להצטרף לאגודה. אולם, יישובים רבים החליטו לנצל את זכות ההמלצה החברתית שקיבלו מן </w:t>
      </w:r>
      <w:proofErr w:type="spellStart"/>
      <w:r w:rsidRPr="00A20B83">
        <w:rPr>
          <w:rFonts w:ascii="inherit" w:eastAsia="Times New Roman" w:hAnsi="inherit" w:cs="Helvetica"/>
          <w:color w:val="1D2129"/>
          <w:sz w:val="24"/>
          <w:szCs w:val="24"/>
          <w:rtl/>
        </w:rPr>
        <w:t>המינהל</w:t>
      </w:r>
      <w:proofErr w:type="spellEnd"/>
      <w:r w:rsidRPr="00A20B83">
        <w:rPr>
          <w:rFonts w:ascii="inherit" w:eastAsia="Times New Roman" w:hAnsi="inherit" w:cs="Helvetica"/>
          <w:color w:val="1D2129"/>
          <w:sz w:val="24"/>
          <w:szCs w:val="24"/>
          <w:rtl/>
        </w:rPr>
        <w:t xml:space="preserve">, כדי לחייב כל מועמד להצטרף לאגודה שהקימו, ובאמצעותה, לגבות ממנו מיסים ותשלומים אחרים. ראוי לזכור כי היישוב קיבל מן </w:t>
      </w:r>
      <w:proofErr w:type="spellStart"/>
      <w:r w:rsidRPr="00A20B83">
        <w:rPr>
          <w:rFonts w:ascii="inherit" w:eastAsia="Times New Roman" w:hAnsi="inherit" w:cs="Helvetica"/>
          <w:color w:val="1D2129"/>
          <w:sz w:val="24"/>
          <w:szCs w:val="24"/>
          <w:rtl/>
        </w:rPr>
        <w:t>המינהל</w:t>
      </w:r>
      <w:proofErr w:type="spellEnd"/>
      <w:r w:rsidRPr="00A20B83">
        <w:rPr>
          <w:rFonts w:ascii="inherit" w:eastAsia="Times New Roman" w:hAnsi="inherit" w:cs="Helvetica"/>
          <w:color w:val="1D2129"/>
          <w:sz w:val="24"/>
          <w:szCs w:val="24"/>
          <w:rtl/>
        </w:rPr>
        <w:t xml:space="preserve"> זכות המלצה שהוגבלה במפורש למטרת קידום ערכים ציבוריים כמו התאמה חברתית-יישובית וגידול דמוגרפי. </w:t>
      </w:r>
      <w:r w:rsidRPr="00A20B83">
        <w:rPr>
          <w:rFonts w:ascii="inherit" w:eastAsia="Times New Roman" w:hAnsi="inherit" w:cs="Helvetica"/>
          <w:b/>
          <w:bCs/>
          <w:color w:val="1D2129"/>
          <w:sz w:val="24"/>
          <w:szCs w:val="24"/>
          <w:rtl/>
        </w:rPr>
        <w:t>ניצול הזכות למטרות אחרות, קל וחומר, לצורך התעשרות פרטית (כגון קבלת תשלומים, מיסים וטובות הנאה אחרות), הוא מעשה אסור מבחינה משפטית ואף בלתי מוסרי</w:t>
      </w:r>
      <w:r w:rsidRPr="00A20B83">
        <w:rPr>
          <w:rFonts w:ascii="inherit" w:eastAsia="Times New Roman" w:hAnsi="inherit" w:cs="Helvetica"/>
          <w:b/>
          <w:bCs/>
          <w:color w:val="1D2129"/>
          <w:sz w:val="24"/>
          <w:szCs w:val="24"/>
        </w:rPr>
        <w:t>. </w:t>
      </w:r>
      <w:r w:rsidRPr="00A20B83">
        <w:rPr>
          <w:rFonts w:ascii="inherit" w:eastAsia="Times New Roman" w:hAnsi="inherit" w:cs="Helvetica"/>
          <w:b/>
          <w:bCs/>
          <w:color w:val="1D2129"/>
          <w:sz w:val="24"/>
          <w:szCs w:val="24"/>
        </w:rPr>
        <w:br/>
      </w:r>
      <w:r w:rsidRPr="00A20B83">
        <w:rPr>
          <w:rFonts w:ascii="inherit" w:eastAsia="Times New Roman" w:hAnsi="inherit" w:cs="Helvetica"/>
          <w:color w:val="1D2129"/>
          <w:sz w:val="24"/>
          <w:szCs w:val="24"/>
          <w:rtl/>
        </w:rPr>
        <w:t xml:space="preserve">האם מעשה הצירוף נעשה בהסכמת </w:t>
      </w:r>
      <w:proofErr w:type="spellStart"/>
      <w:r w:rsidRPr="00A20B83">
        <w:rPr>
          <w:rFonts w:ascii="inherit" w:eastAsia="Times New Roman" w:hAnsi="inherit" w:cs="Helvetica"/>
          <w:color w:val="1D2129"/>
          <w:sz w:val="24"/>
          <w:szCs w:val="24"/>
          <w:rtl/>
        </w:rPr>
        <w:t>המינהל</w:t>
      </w:r>
      <w:proofErr w:type="spellEnd"/>
      <w:r w:rsidRPr="00A20B83">
        <w:rPr>
          <w:rFonts w:ascii="inherit" w:eastAsia="Times New Roman" w:hAnsi="inherit" w:cs="Helvetica"/>
          <w:color w:val="1D2129"/>
          <w:sz w:val="24"/>
          <w:szCs w:val="24"/>
        </w:rPr>
        <w:t>? </w:t>
      </w:r>
      <w:r w:rsidRPr="00A20B83">
        <w:rPr>
          <w:rFonts w:ascii="inherit" w:eastAsia="Times New Roman" w:hAnsi="inherit" w:cs="Helvetica"/>
          <w:color w:val="1D2129"/>
          <w:sz w:val="24"/>
          <w:szCs w:val="24"/>
        </w:rPr>
        <w:br/>
      </w:r>
      <w:r w:rsidRPr="00A20B83">
        <w:rPr>
          <w:rFonts w:ascii="inherit" w:eastAsia="Times New Roman" w:hAnsi="inherit" w:cs="Helvetica"/>
          <w:color w:val="1D2129"/>
          <w:sz w:val="24"/>
          <w:szCs w:val="24"/>
          <w:rtl/>
        </w:rPr>
        <w:t xml:space="preserve">התשובה לכך היא בשלילה גמורה. המחלקה המשפטית של </w:t>
      </w:r>
      <w:proofErr w:type="spellStart"/>
      <w:r w:rsidRPr="00A20B83">
        <w:rPr>
          <w:rFonts w:ascii="inherit" w:eastAsia="Times New Roman" w:hAnsi="inherit" w:cs="Helvetica"/>
          <w:color w:val="1D2129"/>
          <w:sz w:val="24"/>
          <w:szCs w:val="24"/>
          <w:rtl/>
        </w:rPr>
        <w:t>המינהל</w:t>
      </w:r>
      <w:proofErr w:type="spellEnd"/>
      <w:r w:rsidRPr="00A20B83">
        <w:rPr>
          <w:rFonts w:ascii="inherit" w:eastAsia="Times New Roman" w:hAnsi="inherit" w:cs="Helvetica"/>
          <w:color w:val="1D2129"/>
          <w:sz w:val="24"/>
          <w:szCs w:val="24"/>
          <w:rtl/>
        </w:rPr>
        <w:t xml:space="preserve"> הבהירה במפורש, באחד המקרים שהגיעו לטיפולה, </w:t>
      </w:r>
      <w:r w:rsidRPr="00A20B83">
        <w:rPr>
          <w:rFonts w:ascii="inherit" w:eastAsia="Times New Roman" w:hAnsi="inherit" w:cs="Helvetica"/>
          <w:b/>
          <w:bCs/>
          <w:color w:val="1D2129"/>
          <w:sz w:val="24"/>
          <w:szCs w:val="24"/>
          <w:rtl/>
        </w:rPr>
        <w:t>כי "</w:t>
      </w:r>
      <w:proofErr w:type="spellStart"/>
      <w:r w:rsidRPr="00A20B83">
        <w:rPr>
          <w:rFonts w:ascii="inherit" w:eastAsia="Times New Roman" w:hAnsi="inherit" w:cs="Helvetica"/>
          <w:b/>
          <w:bCs/>
          <w:color w:val="1D2129"/>
          <w:sz w:val="24"/>
          <w:szCs w:val="24"/>
          <w:rtl/>
        </w:rPr>
        <w:t>המינהל</w:t>
      </w:r>
      <w:proofErr w:type="spellEnd"/>
      <w:r w:rsidRPr="00A20B83">
        <w:rPr>
          <w:rFonts w:ascii="inherit" w:eastAsia="Times New Roman" w:hAnsi="inherit" w:cs="Helvetica"/>
          <w:b/>
          <w:bCs/>
          <w:color w:val="1D2129"/>
          <w:sz w:val="24"/>
          <w:szCs w:val="24"/>
          <w:rtl/>
        </w:rPr>
        <w:t xml:space="preserve"> אינו מאפשר </w:t>
      </w:r>
      <w:proofErr w:type="spellStart"/>
      <w:r w:rsidRPr="00A20B83">
        <w:rPr>
          <w:rFonts w:ascii="inherit" w:eastAsia="Times New Roman" w:hAnsi="inherit" w:cs="Helvetica"/>
          <w:b/>
          <w:bCs/>
          <w:color w:val="1D2129"/>
          <w:sz w:val="24"/>
          <w:szCs w:val="24"/>
          <w:rtl/>
        </w:rPr>
        <w:t>התנייה</w:t>
      </w:r>
      <w:proofErr w:type="spellEnd"/>
      <w:r w:rsidRPr="00A20B83">
        <w:rPr>
          <w:rFonts w:ascii="inherit" w:eastAsia="Times New Roman" w:hAnsi="inherit" w:cs="Helvetica"/>
          <w:b/>
          <w:bCs/>
          <w:color w:val="1D2129"/>
          <w:sz w:val="24"/>
          <w:szCs w:val="24"/>
          <w:rtl/>
        </w:rPr>
        <w:t xml:space="preserve"> של מתן המלצה להתיישבות בחובה להתאגדות כלשהי</w:t>
      </w:r>
      <w:r w:rsidRPr="00A20B83">
        <w:rPr>
          <w:rFonts w:ascii="inherit" w:eastAsia="Times New Roman" w:hAnsi="inherit" w:cs="Helvetica"/>
          <w:b/>
          <w:bCs/>
          <w:color w:val="1D2129"/>
          <w:sz w:val="24"/>
          <w:szCs w:val="24"/>
        </w:rPr>
        <w:t>". </w:t>
      </w:r>
      <w:r w:rsidRPr="00A20B83">
        <w:rPr>
          <w:rFonts w:ascii="inherit" w:eastAsia="Times New Roman" w:hAnsi="inherit" w:cs="Helvetica"/>
          <w:b/>
          <w:bCs/>
          <w:color w:val="1D2129"/>
          <w:sz w:val="24"/>
          <w:szCs w:val="24"/>
        </w:rPr>
        <w:br/>
      </w:r>
      <w:r w:rsidRPr="00A20B83">
        <w:rPr>
          <w:rFonts w:ascii="inherit" w:eastAsia="Times New Roman" w:hAnsi="inherit" w:cs="Helvetica"/>
          <w:color w:val="1D2129"/>
          <w:sz w:val="24"/>
          <w:szCs w:val="24"/>
          <w:rtl/>
        </w:rPr>
        <w:t>כעת, לאחר שהוברר שצירוף המשתכן לאגודה, באופן האמור, הוא בלתי חוקי, ננסה להבין לאילו מטרות הוקמה האגודה</w:t>
      </w:r>
      <w:r w:rsidRPr="00A20B83">
        <w:rPr>
          <w:rFonts w:ascii="inherit" w:eastAsia="Times New Roman" w:hAnsi="inherit" w:cs="Helvetica"/>
          <w:color w:val="1D2129"/>
          <w:sz w:val="24"/>
          <w:szCs w:val="24"/>
        </w:rPr>
        <w:t>. </w:t>
      </w:r>
      <w:r w:rsidRPr="00A20B83">
        <w:rPr>
          <w:rFonts w:ascii="inherit" w:eastAsia="Times New Roman" w:hAnsi="inherit" w:cs="Helvetica"/>
          <w:color w:val="1D2129"/>
          <w:sz w:val="24"/>
          <w:szCs w:val="24"/>
        </w:rPr>
        <w:br/>
      </w:r>
      <w:r w:rsidRPr="00A20B83">
        <w:rPr>
          <w:rFonts w:ascii="inherit" w:eastAsia="Times New Roman" w:hAnsi="inherit" w:cs="Helvetica"/>
          <w:color w:val="1D2129"/>
          <w:sz w:val="24"/>
          <w:szCs w:val="24"/>
          <w:rtl/>
        </w:rPr>
        <w:t>עיון בגרסה נפוצה של תקנון אגודה קהילתית מלמד כי המטרה המוצהרת של הקמתה היא יצירת מסגרת לחיים משותפים וגוף שימלא "תפקידים מוניציפליים הניתנים בדרך כלל על ידי ובמסגרת רשות מקומית</w:t>
      </w:r>
      <w:r w:rsidRPr="00A20B83">
        <w:rPr>
          <w:rFonts w:ascii="inherit" w:eastAsia="Times New Roman" w:hAnsi="inherit" w:cs="Helvetica"/>
          <w:color w:val="1D2129"/>
          <w:sz w:val="24"/>
          <w:szCs w:val="24"/>
        </w:rPr>
        <w:t>". </w:t>
      </w:r>
      <w:r w:rsidRPr="00A20B83">
        <w:rPr>
          <w:rFonts w:ascii="inherit" w:eastAsia="Times New Roman" w:hAnsi="inherit" w:cs="Helvetica"/>
          <w:color w:val="1D2129"/>
          <w:sz w:val="24"/>
          <w:szCs w:val="24"/>
        </w:rPr>
        <w:br/>
      </w:r>
      <w:r w:rsidRPr="00A20B83">
        <w:rPr>
          <w:rFonts w:ascii="inherit" w:eastAsia="Times New Roman" w:hAnsi="inherit" w:cs="Helvetica"/>
          <w:b/>
          <w:bCs/>
          <w:color w:val="1D2129"/>
          <w:sz w:val="24"/>
          <w:szCs w:val="24"/>
          <w:rtl/>
        </w:rPr>
        <w:t xml:space="preserve">אולם, עניינים מוניציפאליים (כמו פינוי אשפה, גזם, ניקוי ותאורת רחובות, גינון ציבורי </w:t>
      </w:r>
      <w:r w:rsidRPr="00A20B83">
        <w:rPr>
          <w:rFonts w:ascii="inherit" w:eastAsia="Times New Roman" w:hAnsi="inherit" w:cs="Helvetica"/>
          <w:b/>
          <w:bCs/>
          <w:color w:val="1D2129"/>
          <w:sz w:val="24"/>
          <w:szCs w:val="24"/>
          <w:rtl/>
        </w:rPr>
        <w:lastRenderedPageBreak/>
        <w:t>וכיו"ב) מצויים באחריות הרשות המקומית. כידוע, אנו משלמים סכום נאה, בכל חודש, עבור ארנונה לרשות המקומית כדי שתדאג לאספקת שירותים אלו. אם כך, מדוע יש צורך באגודה</w:t>
      </w:r>
      <w:r w:rsidRPr="00A20B83">
        <w:rPr>
          <w:rFonts w:ascii="inherit" w:eastAsia="Times New Roman" w:hAnsi="inherit" w:cs="Helvetica"/>
          <w:color w:val="1D2129"/>
          <w:sz w:val="24"/>
          <w:szCs w:val="24"/>
          <w:rtl/>
        </w:rPr>
        <w:t xml:space="preserve"> לעניינים אלו? האם זה חוקי? האם רשאית האגודה למלא תפקידים של רשות מקומית ולגבות מיסים לשם כך</w:t>
      </w:r>
      <w:r w:rsidRPr="00A20B83">
        <w:rPr>
          <w:rFonts w:ascii="inherit" w:eastAsia="Times New Roman" w:hAnsi="inherit" w:cs="Helvetica"/>
          <w:color w:val="1D2129"/>
          <w:sz w:val="24"/>
          <w:szCs w:val="24"/>
        </w:rPr>
        <w:t>? </w:t>
      </w:r>
      <w:r w:rsidRPr="00A20B83">
        <w:rPr>
          <w:rFonts w:ascii="inherit" w:eastAsia="Times New Roman" w:hAnsi="inherit" w:cs="Helvetica"/>
          <w:color w:val="1D2129"/>
          <w:sz w:val="24"/>
          <w:szCs w:val="24"/>
        </w:rPr>
        <w:br/>
      </w:r>
      <w:r w:rsidRPr="00A20B83">
        <w:rPr>
          <w:rFonts w:ascii="inherit" w:eastAsia="Times New Roman" w:hAnsi="inherit" w:cs="Helvetica"/>
          <w:color w:val="1D2129"/>
          <w:sz w:val="24"/>
          <w:szCs w:val="24"/>
          <w:rtl/>
        </w:rPr>
        <w:t>מסתבר שגם עניין זה אינו חוקי</w:t>
      </w:r>
      <w:r w:rsidRPr="00A20B83">
        <w:rPr>
          <w:rFonts w:ascii="inherit" w:eastAsia="Times New Roman" w:hAnsi="inherit" w:cs="Helvetica"/>
          <w:color w:val="1D2129"/>
          <w:sz w:val="24"/>
          <w:szCs w:val="24"/>
        </w:rPr>
        <w:t>. </w:t>
      </w:r>
      <w:r w:rsidRPr="00A20B83">
        <w:rPr>
          <w:rFonts w:ascii="inherit" w:eastAsia="Times New Roman" w:hAnsi="inherit" w:cs="Helvetica"/>
          <w:color w:val="1D2129"/>
          <w:sz w:val="24"/>
          <w:szCs w:val="24"/>
        </w:rPr>
        <w:br/>
      </w:r>
      <w:r w:rsidRPr="00A20B83">
        <w:rPr>
          <w:rFonts w:ascii="inherit" w:eastAsia="Times New Roman" w:hAnsi="inherit" w:cs="Helvetica"/>
          <w:color w:val="1D2129"/>
          <w:sz w:val="24"/>
          <w:szCs w:val="24"/>
          <w:rtl/>
        </w:rPr>
        <w:t xml:space="preserve">בחוות דעת שהכין בפברואר 1996 עו"ד מני מזוז, המשנה ליועץ המשפטי לממשלה דאז, על חוקיות פעילותן של האגודות הקהילתיות הובהר במפורש </w:t>
      </w:r>
      <w:r w:rsidRPr="00221CBA">
        <w:rPr>
          <w:rFonts w:ascii="inherit" w:eastAsia="Times New Roman" w:hAnsi="inherit" w:cs="Helvetica"/>
          <w:b/>
          <w:bCs/>
          <w:color w:val="1D2129"/>
          <w:sz w:val="24"/>
          <w:szCs w:val="24"/>
          <w:rtl/>
        </w:rPr>
        <w:t xml:space="preserve">כי "האגודות המוניציפאליות [הקהילתיות]... מתיימרות ליטול לעצמן את הסמכויות והתפקידים השלטוניים המוקנים בדין לרשות המקומית, קרי - למועצה האזורית ולוועד המקומי של היישוב, וזאת ללא כל אסמכתא חוקית ותוך הסגת גבולן של הרשויות השלטוניות </w:t>
      </w:r>
      <w:proofErr w:type="spellStart"/>
      <w:r w:rsidRPr="00221CBA">
        <w:rPr>
          <w:rFonts w:ascii="inherit" w:eastAsia="Times New Roman" w:hAnsi="inherit" w:cs="Helvetica"/>
          <w:b/>
          <w:bCs/>
          <w:color w:val="1D2129"/>
          <w:sz w:val="24"/>
          <w:szCs w:val="24"/>
          <w:rtl/>
        </w:rPr>
        <w:t>שנתכוננו</w:t>
      </w:r>
      <w:proofErr w:type="spellEnd"/>
      <w:r w:rsidRPr="00221CBA">
        <w:rPr>
          <w:rFonts w:ascii="inherit" w:eastAsia="Times New Roman" w:hAnsi="inherit" w:cs="Helvetica"/>
          <w:b/>
          <w:bCs/>
          <w:color w:val="1D2129"/>
          <w:sz w:val="24"/>
          <w:szCs w:val="24"/>
          <w:rtl/>
        </w:rPr>
        <w:t xml:space="preserve"> על-פי דין... אשר על כן, האגודה המוניציפאלית, שהיא גוף מתחום המשפט הפרטי, אינה יכולה לבוא במקומם, ואינה רשאית להסיג את גבולם של הוועד המקומי והמועצה האזורית, שהם הגופים השלטוניים אשר בידם הפקיד הדין את הסמכויות והתפקידים של הרשות המקומית באותו יישוב. התיימרות האגודות המוניציפאליות ליטול לעצמן סמכויות של הרשות המקומית, כקבוע בתקנון, אינה אפוא כדין</w:t>
      </w:r>
      <w:r w:rsidRPr="00221CBA">
        <w:rPr>
          <w:rFonts w:ascii="inherit" w:eastAsia="Times New Roman" w:hAnsi="inherit" w:cs="Helvetica"/>
          <w:b/>
          <w:bCs/>
          <w:color w:val="1D2129"/>
          <w:sz w:val="24"/>
          <w:szCs w:val="24"/>
        </w:rPr>
        <w:t>". </w:t>
      </w:r>
      <w:r w:rsidRPr="00221CBA">
        <w:rPr>
          <w:rFonts w:ascii="inherit" w:eastAsia="Times New Roman" w:hAnsi="inherit" w:cs="Helvetica"/>
          <w:b/>
          <w:bCs/>
          <w:color w:val="1D2129"/>
          <w:sz w:val="24"/>
          <w:szCs w:val="24"/>
        </w:rPr>
        <w:br/>
      </w:r>
      <w:r w:rsidRPr="00A20B83">
        <w:rPr>
          <w:rFonts w:ascii="inherit" w:eastAsia="Times New Roman" w:hAnsi="inherit" w:cs="Helvetica"/>
          <w:color w:val="1D2129"/>
          <w:sz w:val="24"/>
          <w:szCs w:val="24"/>
          <w:rtl/>
        </w:rPr>
        <w:t>דברים חדים וברורים מטעם היועץ המשפטי לממשלה. על כן, במרחב הכפרי, קיימים רק שני גופים שלטוניים הרשאים למלא תפקיד מוניציפאלי ולגבות מאתנו מסים לצורך זה. המועצה האזורית והוועד המקומי (הפועל מכוח סמכות מקומית שהואצלה לו על ידי המועצה האזורית). לפיכך, האגודה אינה מוסמכת לעסוק בנושאים לשמן הוקמה וכמובן אינה רשאית לגבות מסים לצורך פעולותיה אלו</w:t>
      </w:r>
      <w:r w:rsidRPr="00A20B83">
        <w:rPr>
          <w:rFonts w:ascii="inherit" w:eastAsia="Times New Roman" w:hAnsi="inherit" w:cs="Helvetica"/>
          <w:color w:val="1D2129"/>
          <w:sz w:val="24"/>
          <w:szCs w:val="24"/>
        </w:rPr>
        <w:t>. </w:t>
      </w:r>
      <w:r w:rsidRPr="00A20B83">
        <w:rPr>
          <w:rFonts w:ascii="inherit" w:eastAsia="Times New Roman" w:hAnsi="inherit" w:cs="Helvetica"/>
          <w:color w:val="1D2129"/>
          <w:sz w:val="24"/>
          <w:szCs w:val="24"/>
        </w:rPr>
        <w:br/>
      </w:r>
      <w:r w:rsidRPr="00A20B83">
        <w:rPr>
          <w:rFonts w:ascii="inherit" w:eastAsia="Times New Roman" w:hAnsi="inherit" w:cs="Helvetica"/>
          <w:color w:val="1D2129"/>
          <w:sz w:val="24"/>
          <w:szCs w:val="24"/>
          <w:rtl/>
        </w:rPr>
        <w:t>סיכום ביניים</w:t>
      </w:r>
      <w:r w:rsidRPr="00A20B83">
        <w:rPr>
          <w:rFonts w:ascii="inherit" w:eastAsia="Times New Roman" w:hAnsi="inherit" w:cs="Helvetica"/>
          <w:color w:val="1D2129"/>
          <w:sz w:val="24"/>
          <w:szCs w:val="24"/>
        </w:rPr>
        <w:t>:</w:t>
      </w:r>
      <w:r w:rsidRPr="00A20B83">
        <w:rPr>
          <w:rFonts w:ascii="inherit" w:eastAsia="Times New Roman" w:hAnsi="inherit" w:cs="Helvetica"/>
          <w:color w:val="1D2129"/>
          <w:sz w:val="24"/>
          <w:szCs w:val="24"/>
        </w:rPr>
        <w:br/>
      </w:r>
      <w:r w:rsidRPr="00A20B83">
        <w:rPr>
          <w:rFonts w:ascii="inherit" w:eastAsia="Times New Roman" w:hAnsi="inherit" w:cs="Helvetica"/>
          <w:color w:val="1D2129"/>
          <w:sz w:val="24"/>
          <w:szCs w:val="24"/>
          <w:rtl/>
        </w:rPr>
        <w:t>כדי להתגורר בהרחבה הבנויה על אדמות מדינה כפו יישובים רבים על כל משתכן, שלא כדין, להצטרף לאגודה קהילתית פרטית שהקימו. האגודה הפרטית הוקמה למטרה מוניציפאלית, שלא כדין, ודורשת מן המשתכן מיסים ותשלומים, שלא כדין, כדי לממן את פעולותיה הבלתי חוקיות</w:t>
      </w:r>
      <w:r w:rsidRPr="00A20B83">
        <w:rPr>
          <w:rFonts w:ascii="inherit" w:eastAsia="Times New Roman" w:hAnsi="inherit" w:cs="Helvetica"/>
          <w:color w:val="1D2129"/>
          <w:sz w:val="24"/>
          <w:szCs w:val="24"/>
        </w:rPr>
        <w:t>.</w:t>
      </w:r>
      <w:r w:rsidRPr="00A20B83">
        <w:rPr>
          <w:rFonts w:ascii="inherit" w:eastAsia="Times New Roman" w:hAnsi="inherit" w:cs="Helvetica"/>
          <w:color w:val="1D2129"/>
          <w:sz w:val="24"/>
          <w:szCs w:val="24"/>
        </w:rPr>
        <w:br/>
      </w:r>
      <w:r w:rsidRPr="00A20B83">
        <w:rPr>
          <w:rFonts w:ascii="inherit" w:eastAsia="Times New Roman" w:hAnsi="inherit" w:cs="Helvetica"/>
          <w:color w:val="1D2129"/>
          <w:sz w:val="24"/>
          <w:szCs w:val="24"/>
          <w:rtl/>
        </w:rPr>
        <w:t>אם זהו המצב, כיצד על המשתכן לפעול? לרוב, תקנון האגודה הקהילתית קובע, בין היתר, שכל מי שמפסיק את חברותו באגודה חייב למכור את ביתו ביישוב. האם, למרות האמור בתקנון, ניתן להפסיק את החברות באגודה מבלי למכור את הבית</w:t>
      </w:r>
      <w:r w:rsidRPr="00A20B83">
        <w:rPr>
          <w:rFonts w:ascii="inherit" w:eastAsia="Times New Roman" w:hAnsi="inherit" w:cs="Helvetica"/>
          <w:color w:val="1D2129"/>
          <w:sz w:val="24"/>
          <w:szCs w:val="24"/>
        </w:rPr>
        <w:t>? </w:t>
      </w:r>
      <w:r w:rsidRPr="00A20B83">
        <w:rPr>
          <w:rFonts w:ascii="inherit" w:eastAsia="Times New Roman" w:hAnsi="inherit" w:cs="Helvetica"/>
          <w:color w:val="1D2129"/>
          <w:sz w:val="24"/>
          <w:szCs w:val="24"/>
        </w:rPr>
        <w:br/>
      </w:r>
      <w:r w:rsidRPr="00A20B83">
        <w:rPr>
          <w:rFonts w:ascii="inherit" w:eastAsia="Times New Roman" w:hAnsi="inherit" w:cs="Helvetica"/>
          <w:color w:val="1D2129"/>
          <w:sz w:val="24"/>
          <w:szCs w:val="24"/>
          <w:rtl/>
        </w:rPr>
        <w:t>ביום 24.10.11 נתן ביהמ"ש המחוזי בנצרת פסק דין עקרוני בעניין זכותו של חבר אגודה קהילתית המתגורר בהרחבה להביא את חברותו לכדי סיום</w:t>
      </w:r>
      <w:r w:rsidRPr="00A20B83">
        <w:rPr>
          <w:rFonts w:ascii="inherit" w:eastAsia="Times New Roman" w:hAnsi="inherit" w:cs="Helvetica"/>
          <w:color w:val="1D2129"/>
          <w:sz w:val="24"/>
          <w:szCs w:val="24"/>
        </w:rPr>
        <w:t>. </w:t>
      </w:r>
      <w:r w:rsidRPr="00A20B83">
        <w:rPr>
          <w:rFonts w:ascii="inherit" w:eastAsia="Times New Roman" w:hAnsi="inherit" w:cs="Helvetica"/>
          <w:color w:val="1D2129"/>
          <w:sz w:val="24"/>
          <w:szCs w:val="24"/>
        </w:rPr>
        <w:br/>
      </w:r>
      <w:r w:rsidRPr="00221CBA">
        <w:rPr>
          <w:rFonts w:ascii="inherit" w:eastAsia="Times New Roman" w:hAnsi="inherit" w:cs="Helvetica"/>
          <w:b/>
          <w:bCs/>
          <w:color w:val="1D2129"/>
          <w:sz w:val="24"/>
          <w:szCs w:val="24"/>
          <w:rtl/>
        </w:rPr>
        <w:t>בית המשפט המחוזי קבע כי "הזכות להתאגדות הכוללת את הזכות לחופש מההתאגדות הינה זכות יסוד בסיסית. כפיית אדם להתאגד באגודה שיתופית קהילתית מוניציפאלית או מניעתו מלהביא לסיום חברותו באגודה כזו, בה התאגד קודם לכן, מהווה פגיעה בזכות יסוד זו, דבר שאין לו מקום בשיטת המשפט שלנו, וכל סעיף בתקנון אגודה שיתופית שמטרתו לכפות חברות באגודה, בין אם באופן ישיר ובין אם באופן עקיף, חסר כל תוקף</w:t>
      </w:r>
      <w:r w:rsidRPr="00A20B83">
        <w:rPr>
          <w:rFonts w:ascii="inherit" w:eastAsia="Times New Roman" w:hAnsi="inherit" w:cs="Helvetica"/>
          <w:color w:val="1D2129"/>
          <w:sz w:val="24"/>
          <w:szCs w:val="24"/>
          <w:rtl/>
        </w:rPr>
        <w:t>. לפיכך, אין בכוחה של המשיבה להמשיך ולכפות על המבקש המשך חברות באגודה השיתופית הקהילתית, לא באופן ישיר ולא בדרך של הצבת תנאי הקושר בין זכויות המבקש הקנייניות במקרקעין שלגביהם יש לו זכויות חכירה" (</w:t>
      </w:r>
      <w:proofErr w:type="spellStart"/>
      <w:r w:rsidRPr="00A20B83">
        <w:rPr>
          <w:rFonts w:ascii="inherit" w:eastAsia="Times New Roman" w:hAnsi="inherit" w:cs="Helvetica"/>
          <w:color w:val="1D2129"/>
          <w:sz w:val="24"/>
          <w:szCs w:val="24"/>
          <w:rtl/>
        </w:rPr>
        <w:t>ה"פ</w:t>
      </w:r>
      <w:proofErr w:type="spellEnd"/>
      <w:r w:rsidRPr="00A20B83">
        <w:rPr>
          <w:rFonts w:ascii="inherit" w:eastAsia="Times New Roman" w:hAnsi="inherit" w:cs="Helvetica"/>
          <w:color w:val="1D2129"/>
          <w:sz w:val="24"/>
          <w:szCs w:val="24"/>
          <w:rtl/>
        </w:rPr>
        <w:t xml:space="preserve"> 22222-07-10, </w:t>
      </w:r>
      <w:proofErr w:type="spellStart"/>
      <w:r w:rsidRPr="00A20B83">
        <w:rPr>
          <w:rFonts w:ascii="inherit" w:eastAsia="Times New Roman" w:hAnsi="inherit" w:cs="Helvetica"/>
          <w:color w:val="1D2129"/>
          <w:sz w:val="24"/>
          <w:szCs w:val="24"/>
          <w:rtl/>
        </w:rPr>
        <w:t>עפגין</w:t>
      </w:r>
      <w:proofErr w:type="spellEnd"/>
      <w:r w:rsidRPr="00A20B83">
        <w:rPr>
          <w:rFonts w:ascii="inherit" w:eastAsia="Times New Roman" w:hAnsi="inherit" w:cs="Helvetica"/>
          <w:color w:val="1D2129"/>
          <w:sz w:val="24"/>
          <w:szCs w:val="24"/>
          <w:rtl/>
        </w:rPr>
        <w:t xml:space="preserve"> נ' מתיישבי אמנון, ס' 48 לפסה"ד)</w:t>
      </w:r>
      <w:r w:rsidRPr="00A20B83">
        <w:rPr>
          <w:rFonts w:ascii="inherit" w:eastAsia="Times New Roman" w:hAnsi="inherit" w:cs="Helvetica"/>
          <w:color w:val="1D2129"/>
          <w:sz w:val="24"/>
          <w:szCs w:val="24"/>
        </w:rPr>
        <w:br/>
      </w:r>
      <w:r w:rsidRPr="00A20B83">
        <w:rPr>
          <w:rFonts w:ascii="inherit" w:eastAsia="Times New Roman" w:hAnsi="inherit" w:cs="Helvetica"/>
          <w:color w:val="1D2129"/>
          <w:sz w:val="24"/>
          <w:szCs w:val="24"/>
          <w:rtl/>
        </w:rPr>
        <w:t>כך, באופן שאינו משתמע לשני פנים, הכיר ביהמ"ש בזכות החוקתית שלא להיות חבר אגודה קהילתית ועל כן פסל כל התניה בתקנון האגודה על מימוש זכות זו, כגון הדרישה למכור את בית המגורים בהרחבה</w:t>
      </w:r>
      <w:r w:rsidRPr="00A20B83">
        <w:rPr>
          <w:rFonts w:ascii="inherit" w:eastAsia="Times New Roman" w:hAnsi="inherit" w:cs="Helvetica"/>
          <w:color w:val="1D2129"/>
          <w:sz w:val="24"/>
          <w:szCs w:val="24"/>
        </w:rPr>
        <w:t>.</w:t>
      </w:r>
    </w:p>
    <w:p w:rsidR="00FD39D7" w:rsidRPr="00221CBA" w:rsidRDefault="00FD39D7" w:rsidP="00FD39D7">
      <w:pPr>
        <w:shd w:val="clear" w:color="auto" w:fill="FFFFFF"/>
        <w:spacing w:before="90" w:after="0" w:line="240" w:lineRule="auto"/>
        <w:rPr>
          <w:rFonts w:ascii="inherit" w:eastAsia="Times New Roman" w:hAnsi="inherit" w:cs="Helvetica"/>
          <w:b/>
          <w:bCs/>
          <w:color w:val="1D2129"/>
          <w:sz w:val="24"/>
          <w:szCs w:val="24"/>
        </w:rPr>
      </w:pPr>
      <w:r w:rsidRPr="00A20B83">
        <w:rPr>
          <w:rFonts w:ascii="inherit" w:eastAsia="Times New Roman" w:hAnsi="inherit" w:cs="Helvetica"/>
          <w:color w:val="1D2129"/>
          <w:sz w:val="24"/>
          <w:szCs w:val="24"/>
          <w:rtl/>
        </w:rPr>
        <w:t>מה מצבו המשפטי של מי שבוחר שלא לפרוש מן האגודה</w:t>
      </w:r>
      <w:r w:rsidRPr="00A20B83">
        <w:rPr>
          <w:rFonts w:ascii="inherit" w:eastAsia="Times New Roman" w:hAnsi="inherit" w:cs="Helvetica"/>
          <w:color w:val="1D2129"/>
          <w:sz w:val="24"/>
          <w:szCs w:val="24"/>
        </w:rPr>
        <w:t>?</w:t>
      </w:r>
      <w:r w:rsidRPr="00A20B83">
        <w:rPr>
          <w:rFonts w:ascii="inherit" w:eastAsia="Times New Roman" w:hAnsi="inherit" w:cs="Helvetica"/>
          <w:color w:val="1D2129"/>
          <w:sz w:val="24"/>
          <w:szCs w:val="24"/>
        </w:rPr>
        <w:br/>
        <w:t xml:space="preserve">• </w:t>
      </w:r>
      <w:r w:rsidRPr="00A20B83">
        <w:rPr>
          <w:rFonts w:ascii="inherit" w:eastAsia="Times New Roman" w:hAnsi="inherit" w:cs="Helvetica"/>
          <w:color w:val="1D2129"/>
          <w:sz w:val="24"/>
          <w:szCs w:val="24"/>
          <w:rtl/>
        </w:rPr>
        <w:t>מי שממשיך את חברותו באגודה מכפיף את עצמו, מרצונו, לכל הוראות תקנון האגודה, כתב ההצטרפות, וכלל התקנות והחוקים החלים על חברי אגודות שיתופיות בנסיבות אלו. בין היתר, נתפס אותו חבר כמי שמעוניין להמשיך לקבל את שירותי האגודה והוא מחויב לשלם עבור שירותים אלו</w:t>
      </w:r>
      <w:r w:rsidRPr="00A20B83">
        <w:rPr>
          <w:rFonts w:ascii="inherit" w:eastAsia="Times New Roman" w:hAnsi="inherit" w:cs="Helvetica"/>
          <w:color w:val="1D2129"/>
          <w:sz w:val="24"/>
          <w:szCs w:val="24"/>
        </w:rPr>
        <w:t>. </w:t>
      </w:r>
      <w:r w:rsidRPr="00A20B83">
        <w:rPr>
          <w:rFonts w:ascii="inherit" w:eastAsia="Times New Roman" w:hAnsi="inherit" w:cs="Helvetica"/>
          <w:color w:val="1D2129"/>
          <w:sz w:val="24"/>
          <w:szCs w:val="24"/>
        </w:rPr>
        <w:br/>
        <w:t xml:space="preserve">• </w:t>
      </w:r>
      <w:r w:rsidRPr="00A20B83">
        <w:rPr>
          <w:rFonts w:ascii="inherit" w:eastAsia="Times New Roman" w:hAnsi="inherit" w:cs="Helvetica"/>
          <w:color w:val="1D2129"/>
          <w:sz w:val="24"/>
          <w:szCs w:val="24"/>
          <w:rtl/>
        </w:rPr>
        <w:t xml:space="preserve">חבר האגודה חייב במיסי אגודה, לרוב, מבלי שיש לו יכולת ממשית להשפיע על גובהם (בדרך כלל, לא מדובר בשוויון בין כל חברי האגודה משום שיישובים רבים הקפידו להעניק </w:t>
      </w:r>
      <w:r w:rsidRPr="00A20B83">
        <w:rPr>
          <w:rFonts w:ascii="inherit" w:eastAsia="Times New Roman" w:hAnsi="inherit" w:cs="Helvetica"/>
          <w:color w:val="1D2129"/>
          <w:sz w:val="24"/>
          <w:szCs w:val="24"/>
          <w:rtl/>
        </w:rPr>
        <w:lastRenderedPageBreak/>
        <w:t>לעצמם בתקנון זכויות מיוחדות ושליטה במרבית החלטות האגודה הקהילתית)</w:t>
      </w:r>
      <w:r w:rsidRPr="00A20B83">
        <w:rPr>
          <w:rFonts w:ascii="inherit" w:eastAsia="Times New Roman" w:hAnsi="inherit" w:cs="Helvetica"/>
          <w:color w:val="1D2129"/>
          <w:sz w:val="24"/>
          <w:szCs w:val="24"/>
        </w:rPr>
        <w:t>. </w:t>
      </w:r>
      <w:r w:rsidRPr="00A20B83">
        <w:rPr>
          <w:rFonts w:ascii="inherit" w:eastAsia="Times New Roman" w:hAnsi="inherit" w:cs="Helvetica"/>
          <w:color w:val="1D2129"/>
          <w:sz w:val="24"/>
          <w:szCs w:val="24"/>
        </w:rPr>
        <w:br/>
        <w:t xml:space="preserve">• </w:t>
      </w:r>
      <w:r w:rsidRPr="00A20B83">
        <w:rPr>
          <w:rFonts w:ascii="inherit" w:eastAsia="Times New Roman" w:hAnsi="inherit" w:cs="Helvetica"/>
          <w:color w:val="1D2129"/>
          <w:sz w:val="24"/>
          <w:szCs w:val="24"/>
          <w:rtl/>
        </w:rPr>
        <w:t>על פי רוב, חבר האגודה אינו רשאי להעביר, להחכיר או להשכיר את זכויותיו בביתו ללא אישור האגודה והסכמתה</w:t>
      </w:r>
      <w:r w:rsidRPr="00A20B83">
        <w:rPr>
          <w:rFonts w:ascii="inherit" w:eastAsia="Times New Roman" w:hAnsi="inherit" w:cs="Helvetica"/>
          <w:color w:val="1D2129"/>
          <w:sz w:val="24"/>
          <w:szCs w:val="24"/>
        </w:rPr>
        <w:t>. </w:t>
      </w:r>
      <w:r w:rsidRPr="00A20B83">
        <w:rPr>
          <w:rFonts w:ascii="inherit" w:eastAsia="Times New Roman" w:hAnsi="inherit" w:cs="Helvetica"/>
          <w:color w:val="1D2129"/>
          <w:sz w:val="24"/>
          <w:szCs w:val="24"/>
        </w:rPr>
        <w:br/>
        <w:t xml:space="preserve">• </w:t>
      </w:r>
      <w:r w:rsidRPr="00A20B83">
        <w:rPr>
          <w:rFonts w:ascii="inherit" w:eastAsia="Times New Roman" w:hAnsi="inherit" w:cs="Helvetica"/>
          <w:color w:val="1D2129"/>
          <w:sz w:val="24"/>
          <w:szCs w:val="24"/>
          <w:rtl/>
        </w:rPr>
        <w:t>לרוב, במקרה של סכסוך בין החבר לאגודה, החבר כפוף לבוררות של בורר שימנה רשם האגודות השיתופיות ואין הוא רשאי לפנות לבית משפט</w:t>
      </w:r>
      <w:r w:rsidRPr="00A20B83">
        <w:rPr>
          <w:rFonts w:ascii="inherit" w:eastAsia="Times New Roman" w:hAnsi="inherit" w:cs="Helvetica"/>
          <w:color w:val="1D2129"/>
          <w:sz w:val="24"/>
          <w:szCs w:val="24"/>
        </w:rPr>
        <w:t>. </w:t>
      </w:r>
      <w:r w:rsidRPr="00A20B83">
        <w:rPr>
          <w:rFonts w:ascii="inherit" w:eastAsia="Times New Roman" w:hAnsi="inherit" w:cs="Helvetica"/>
          <w:color w:val="1D2129"/>
          <w:sz w:val="24"/>
          <w:szCs w:val="24"/>
        </w:rPr>
        <w:br/>
      </w:r>
      <w:r w:rsidRPr="00221CBA">
        <w:rPr>
          <w:rFonts w:ascii="inherit" w:eastAsia="Times New Roman" w:hAnsi="inherit" w:cs="Helvetica"/>
          <w:b/>
          <w:bCs/>
          <w:color w:val="1D2129"/>
          <w:sz w:val="24"/>
          <w:szCs w:val="24"/>
        </w:rPr>
        <w:t xml:space="preserve">• </w:t>
      </w:r>
      <w:r w:rsidRPr="00221CBA">
        <w:rPr>
          <w:rFonts w:ascii="inherit" w:eastAsia="Times New Roman" w:hAnsi="inherit" w:cs="Helvetica"/>
          <w:b/>
          <w:bCs/>
          <w:color w:val="1D2129"/>
          <w:sz w:val="24"/>
          <w:szCs w:val="24"/>
          <w:rtl/>
        </w:rPr>
        <w:t>כתוצאה מהעדר שקיפות או משקיפות חלקית (האגודה היא גוף פרטי שאינו חייב בשקיפות של גוף ציבורי) לא תמיד ברור לאילו מטרות משמשים הכספים שנגבו ונגבים מן החברים באגודה</w:t>
      </w:r>
      <w:r w:rsidRPr="00221CBA">
        <w:rPr>
          <w:rFonts w:ascii="inherit" w:eastAsia="Times New Roman" w:hAnsi="inherit" w:cs="Helvetica"/>
          <w:b/>
          <w:bCs/>
          <w:color w:val="1D2129"/>
          <w:sz w:val="24"/>
          <w:szCs w:val="24"/>
        </w:rPr>
        <w:t>. </w:t>
      </w:r>
      <w:r w:rsidRPr="00221CBA">
        <w:rPr>
          <w:rFonts w:ascii="inherit" w:eastAsia="Times New Roman" w:hAnsi="inherit" w:cs="Helvetica"/>
          <w:b/>
          <w:bCs/>
          <w:color w:val="1D2129"/>
          <w:sz w:val="24"/>
          <w:szCs w:val="24"/>
        </w:rPr>
        <w:br/>
      </w:r>
      <w:r w:rsidRPr="00A20B83">
        <w:rPr>
          <w:rFonts w:ascii="inherit" w:eastAsia="Times New Roman" w:hAnsi="inherit" w:cs="Helvetica"/>
          <w:color w:val="1D2129"/>
          <w:sz w:val="24"/>
          <w:szCs w:val="24"/>
          <w:rtl/>
        </w:rPr>
        <w:t>האם אפשר לפרוש מן האגודה ולהמשיך לשלם רק על השירותים שהמשתכן בוחר לצרוך</w:t>
      </w:r>
      <w:r w:rsidRPr="00A20B83">
        <w:rPr>
          <w:rFonts w:ascii="inherit" w:eastAsia="Times New Roman" w:hAnsi="inherit" w:cs="Helvetica"/>
          <w:color w:val="1D2129"/>
          <w:sz w:val="24"/>
          <w:szCs w:val="24"/>
        </w:rPr>
        <w:t>?</w:t>
      </w:r>
      <w:r w:rsidRPr="00A20B83">
        <w:rPr>
          <w:rFonts w:ascii="inherit" w:eastAsia="Times New Roman" w:hAnsi="inherit" w:cs="Helvetica"/>
          <w:color w:val="1D2129"/>
          <w:sz w:val="24"/>
          <w:szCs w:val="24"/>
        </w:rPr>
        <w:br/>
      </w:r>
      <w:r w:rsidRPr="00A20B83">
        <w:rPr>
          <w:rFonts w:ascii="inherit" w:eastAsia="Times New Roman" w:hAnsi="inherit" w:cs="Helvetica"/>
          <w:color w:val="1D2129"/>
          <w:sz w:val="24"/>
          <w:szCs w:val="24"/>
          <w:rtl/>
        </w:rPr>
        <w:t>בוודאי. ככל שמשתכן מעוניין לרכוש שירותים מן היישוב (שימוש בבריכת שחיה, עיתון הקיבוץ, ספריה, חינוך בלתי פורמלי, השתתפות באירועי תרבות וכיו"ב) הוא יוכל להגיע להסדר עם היישוב</w:t>
      </w:r>
      <w:r w:rsidRPr="00A20B83">
        <w:rPr>
          <w:rFonts w:ascii="inherit" w:eastAsia="Times New Roman" w:hAnsi="inherit" w:cs="Helvetica"/>
          <w:color w:val="1D2129"/>
          <w:sz w:val="24"/>
          <w:szCs w:val="24"/>
        </w:rPr>
        <w:t>. </w:t>
      </w:r>
      <w:r w:rsidRPr="00A20B83">
        <w:rPr>
          <w:rFonts w:ascii="inherit" w:eastAsia="Times New Roman" w:hAnsi="inherit" w:cs="Helvetica"/>
          <w:color w:val="1D2129"/>
          <w:sz w:val="24"/>
          <w:szCs w:val="24"/>
        </w:rPr>
        <w:br/>
      </w:r>
      <w:r w:rsidRPr="00A20B83">
        <w:rPr>
          <w:rFonts w:ascii="inherit" w:eastAsia="Times New Roman" w:hAnsi="inherit" w:cs="Helvetica"/>
          <w:color w:val="1D2129"/>
          <w:sz w:val="24"/>
          <w:szCs w:val="24"/>
          <w:rtl/>
        </w:rPr>
        <w:t>מה לגבי הפן החברתי של החברות באגודה</w:t>
      </w:r>
      <w:r w:rsidRPr="00A20B83">
        <w:rPr>
          <w:rFonts w:ascii="inherit" w:eastAsia="Times New Roman" w:hAnsi="inherit" w:cs="Helvetica"/>
          <w:color w:val="1D2129"/>
          <w:sz w:val="24"/>
          <w:szCs w:val="24"/>
        </w:rPr>
        <w:t>? </w:t>
      </w:r>
      <w:r w:rsidRPr="00A20B83">
        <w:rPr>
          <w:rFonts w:ascii="inherit" w:eastAsia="Times New Roman" w:hAnsi="inherit" w:cs="Helvetica"/>
          <w:color w:val="1D2129"/>
          <w:sz w:val="24"/>
          <w:szCs w:val="24"/>
        </w:rPr>
        <w:br/>
      </w:r>
      <w:r w:rsidRPr="00A20B83">
        <w:rPr>
          <w:rFonts w:ascii="inherit" w:eastAsia="Times New Roman" w:hAnsi="inherit" w:cs="Helvetica"/>
          <w:color w:val="1D2129"/>
          <w:sz w:val="24"/>
          <w:szCs w:val="24"/>
          <w:rtl/>
        </w:rPr>
        <w:t>לרוב, מהותה של האגודה אינה חברתית אלא כלכלית גרידא. לא מדובר בשיתוף שוויוני בין חברים בפעילות יצרנית אלא במסגרת מנהלית לגביית מיסים ותשלומים אחרים, הנשלטת, בדרך כלל, על ידי היישוב. פעילות חברתית והתנדבותית (אירועי חברה, תרבות, ספורט וכיו"ב) ניתן ורצוי לארגן במסגרות אחרות</w:t>
      </w:r>
      <w:r w:rsidRPr="00221CBA">
        <w:rPr>
          <w:rFonts w:ascii="inherit" w:eastAsia="Times New Roman" w:hAnsi="inherit" w:cs="Helvetica"/>
          <w:b/>
          <w:bCs/>
          <w:color w:val="1D2129"/>
          <w:sz w:val="24"/>
          <w:szCs w:val="24"/>
          <w:rtl/>
        </w:rPr>
        <w:t>, וודאי שאין כל מניעה לקיים חיי קהילה תוססים, המבוססים על מעורבות חברתית וקהילתית, ללא השתייכות לאגודה</w:t>
      </w:r>
      <w:r w:rsidRPr="00221CBA">
        <w:rPr>
          <w:rFonts w:ascii="inherit" w:eastAsia="Times New Roman" w:hAnsi="inherit" w:cs="Helvetica"/>
          <w:b/>
          <w:bCs/>
          <w:color w:val="1D2129"/>
          <w:sz w:val="24"/>
          <w:szCs w:val="24"/>
        </w:rPr>
        <w:t>.</w:t>
      </w:r>
    </w:p>
    <w:p w:rsidR="00046081" w:rsidRPr="00FD39D7" w:rsidRDefault="00370FBB" w:rsidP="00FD39D7"/>
    <w:sectPr w:rsidR="00046081" w:rsidRPr="00FD39D7" w:rsidSect="008C658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9D7"/>
    <w:rsid w:val="0004739B"/>
    <w:rsid w:val="00221CBA"/>
    <w:rsid w:val="00370FBB"/>
    <w:rsid w:val="0041166E"/>
    <w:rsid w:val="005328C1"/>
    <w:rsid w:val="00617EBD"/>
    <w:rsid w:val="008C658B"/>
    <w:rsid w:val="00A20B83"/>
    <w:rsid w:val="00FD39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2ECC0"/>
  <w15:chartTrackingRefBased/>
  <w15:docId w15:val="{7240B8FD-B2FD-4E90-96D6-AA337345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238975">
      <w:bodyDiv w:val="1"/>
      <w:marLeft w:val="0"/>
      <w:marRight w:val="0"/>
      <w:marTop w:val="0"/>
      <w:marBottom w:val="0"/>
      <w:divBdr>
        <w:top w:val="none" w:sz="0" w:space="0" w:color="auto"/>
        <w:left w:val="none" w:sz="0" w:space="0" w:color="auto"/>
        <w:bottom w:val="none" w:sz="0" w:space="0" w:color="auto"/>
        <w:right w:val="none" w:sz="0" w:space="0" w:color="auto"/>
      </w:divBdr>
      <w:divsChild>
        <w:div w:id="329717824">
          <w:marLeft w:val="0"/>
          <w:marRight w:val="0"/>
          <w:marTop w:val="0"/>
          <w:marBottom w:val="0"/>
          <w:divBdr>
            <w:top w:val="none" w:sz="0" w:space="0" w:color="auto"/>
            <w:left w:val="none" w:sz="0" w:space="0" w:color="auto"/>
            <w:bottom w:val="none" w:sz="0" w:space="0" w:color="auto"/>
            <w:right w:val="none" w:sz="0" w:space="0" w:color="auto"/>
          </w:divBdr>
          <w:divsChild>
            <w:div w:id="1385299982">
              <w:marLeft w:val="0"/>
              <w:marRight w:val="0"/>
              <w:marTop w:val="0"/>
              <w:marBottom w:val="0"/>
              <w:divBdr>
                <w:top w:val="none" w:sz="0" w:space="0" w:color="auto"/>
                <w:left w:val="none" w:sz="0" w:space="0" w:color="auto"/>
                <w:bottom w:val="none" w:sz="0" w:space="0" w:color="auto"/>
                <w:right w:val="none" w:sz="0" w:space="0" w:color="auto"/>
              </w:divBdr>
              <w:divsChild>
                <w:div w:id="1987314914">
                  <w:marLeft w:val="0"/>
                  <w:marRight w:val="0"/>
                  <w:marTop w:val="0"/>
                  <w:marBottom w:val="0"/>
                  <w:divBdr>
                    <w:top w:val="none" w:sz="0" w:space="0" w:color="auto"/>
                    <w:left w:val="none" w:sz="0" w:space="0" w:color="auto"/>
                    <w:bottom w:val="none" w:sz="0" w:space="0" w:color="auto"/>
                    <w:right w:val="none" w:sz="0" w:space="0" w:color="auto"/>
                  </w:divBdr>
                  <w:divsChild>
                    <w:div w:id="150341285">
                      <w:marLeft w:val="0"/>
                      <w:marRight w:val="0"/>
                      <w:marTop w:val="0"/>
                      <w:marBottom w:val="0"/>
                      <w:divBdr>
                        <w:top w:val="none" w:sz="0" w:space="0" w:color="auto"/>
                        <w:left w:val="none" w:sz="0" w:space="0" w:color="auto"/>
                        <w:bottom w:val="none" w:sz="0" w:space="0" w:color="auto"/>
                        <w:right w:val="none" w:sz="0" w:space="0" w:color="auto"/>
                      </w:divBdr>
                      <w:divsChild>
                        <w:div w:id="277758774">
                          <w:marLeft w:val="0"/>
                          <w:marRight w:val="0"/>
                          <w:marTop w:val="0"/>
                          <w:marBottom w:val="0"/>
                          <w:divBdr>
                            <w:top w:val="none" w:sz="0" w:space="0" w:color="auto"/>
                            <w:left w:val="none" w:sz="0" w:space="0" w:color="auto"/>
                            <w:bottom w:val="none" w:sz="0" w:space="0" w:color="auto"/>
                            <w:right w:val="none" w:sz="0" w:space="0" w:color="auto"/>
                          </w:divBdr>
                          <w:divsChild>
                            <w:div w:id="1329095968">
                              <w:marLeft w:val="0"/>
                              <w:marRight w:val="0"/>
                              <w:marTop w:val="0"/>
                              <w:marBottom w:val="0"/>
                              <w:divBdr>
                                <w:top w:val="none" w:sz="0" w:space="0" w:color="auto"/>
                                <w:left w:val="none" w:sz="0" w:space="0" w:color="auto"/>
                                <w:bottom w:val="none" w:sz="0" w:space="0" w:color="auto"/>
                                <w:right w:val="none" w:sz="0" w:space="0" w:color="auto"/>
                              </w:divBdr>
                              <w:divsChild>
                                <w:div w:id="610864855">
                                  <w:marLeft w:val="0"/>
                                  <w:marRight w:val="0"/>
                                  <w:marTop w:val="0"/>
                                  <w:marBottom w:val="0"/>
                                  <w:divBdr>
                                    <w:top w:val="none" w:sz="0" w:space="0" w:color="auto"/>
                                    <w:left w:val="none" w:sz="0" w:space="0" w:color="auto"/>
                                    <w:bottom w:val="none" w:sz="0" w:space="0" w:color="auto"/>
                                    <w:right w:val="none" w:sz="0" w:space="0" w:color="auto"/>
                                  </w:divBdr>
                                  <w:divsChild>
                                    <w:div w:id="147660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976571">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yraz.law/posts/1379221265681864?__xts__%5B0%5D=68.ARDRjL2R-oGAIsm7S1Xvl6Ud4VS-7tU3808zWQAXvB605rWdu8YUx6ARP0JOJcz6dqhYMMFjxr2Ayv73SPDBTTq2IsRnhcBb_4sD33StttofdE_IUMI1FDAM2FEyHoNuDQ17i11RA9RBJ_H8sXzuMlmGN3gB5DbZnSVNXVzw6RC9oHua_6jcFhnBzNtoQV3hYQ69sDoe6MSVZEw3pnztP-8&amp;__tn__=-R" TargetMode="External"/><Relationship Id="rId4" Type="http://schemas.openxmlformats.org/officeDocument/2006/relationships/hyperlink" Target="https://www.facebook.com/yraz.law/?__tn__=kC-R&amp;eid=ARBSaaQFhlO0S1WxrvHbQg4ax_8J849eKFAAWnuY64p6oytzNnW-OmFnMR7ThOax3FAr4srIykj5IoGz&amp;hc_ref=ARQ2r6BKHvNJFPfkUYDdrU8SXlyGefGzkrLDN5KMR-p3z0AC7r39OnVds78kUjq7f3Y&amp;fref=nf&amp;__xts__%5B0%5D=68.ARDRjL2R-oGAIsm7S1Xvl6Ud4VS-7tU3808zWQAXvB605rWdu8YUx6ARP0JOJcz6dqhYMMFjxr2Ayv73SPDBTTq2IsRnhcBb_4sD33StttofdE_IUMI1FDAM2FEyHoNuDQ17i11RA9RBJ_H8sXzuMlmGN3gB5DbZnSVNXVzw6RC9oHua_6jcFhnBzNtoQV3hYQ69sDoe6MSVZEw3pnztP-8"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1342</Words>
  <Characters>6711</Characters>
  <Application>Microsoft Office Word</Application>
  <DocSecurity>0</DocSecurity>
  <Lines>55</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cohen</dc:creator>
  <cp:keywords/>
  <dc:description/>
  <cp:lastModifiedBy>david cohen</cp:lastModifiedBy>
  <cp:revision>2</cp:revision>
  <dcterms:created xsi:type="dcterms:W3CDTF">2018-11-03T17:56:00Z</dcterms:created>
  <dcterms:modified xsi:type="dcterms:W3CDTF">2019-08-07T17:09:00Z</dcterms:modified>
</cp:coreProperties>
</file>