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191" w:type="pct"/>
        <w:tblCellSpacing w:w="0" w:type="dxa"/>
        <w:tblInd w:w="-1" w:type="dxa"/>
        <w:tblCellMar>
          <w:left w:w="0" w:type="dxa"/>
          <w:right w:w="0" w:type="dxa"/>
        </w:tblCellMar>
        <w:tblLook w:val="04A0" w:firstRow="1" w:lastRow="0" w:firstColumn="1" w:lastColumn="0" w:noHBand="0" w:noVBand="1"/>
      </w:tblPr>
      <w:tblGrid>
        <w:gridCol w:w="6056"/>
        <w:gridCol w:w="1274"/>
        <w:gridCol w:w="168"/>
        <w:gridCol w:w="1156"/>
      </w:tblGrid>
      <w:tr w:rsidR="00C74496" w:rsidRPr="00C74496" w:rsidTr="00C74496">
        <w:trPr>
          <w:tblCellSpacing w:w="0" w:type="dxa"/>
        </w:trPr>
        <w:tc>
          <w:tcPr>
            <w:tcW w:w="3498" w:type="pct"/>
            <w:tcMar>
              <w:top w:w="15" w:type="dxa"/>
              <w:left w:w="15" w:type="dxa"/>
              <w:bottom w:w="15" w:type="dxa"/>
              <w:right w:w="15" w:type="dxa"/>
            </w:tcMar>
            <w:vAlign w:val="center"/>
          </w:tcPr>
          <w:p w:rsidR="00C74496" w:rsidRPr="00C74496" w:rsidRDefault="00C74496" w:rsidP="00C74496">
            <w:pPr>
              <w:spacing w:before="60" w:line="360" w:lineRule="auto"/>
              <w:rPr>
                <w:rFonts w:ascii="Arial Unicode MS" w:eastAsia="Arial Unicode MS" w:hAnsi="Arial Unicode MS" w:cs="David"/>
                <w:b/>
                <w:bCs/>
                <w:sz w:val="14"/>
                <w:szCs w:val="14"/>
              </w:rPr>
            </w:pPr>
          </w:p>
        </w:tc>
        <w:tc>
          <w:tcPr>
            <w:tcW w:w="736" w:type="pct"/>
            <w:tcMar>
              <w:top w:w="15" w:type="dxa"/>
              <w:left w:w="15" w:type="dxa"/>
              <w:bottom w:w="15" w:type="dxa"/>
              <w:right w:w="15" w:type="dxa"/>
            </w:tcMar>
            <w:vAlign w:val="center"/>
            <w:hideMark/>
          </w:tcPr>
          <w:p w:rsidR="00C74496" w:rsidRPr="00C74496" w:rsidRDefault="00C74496" w:rsidP="00C74496">
            <w:pPr>
              <w:spacing w:before="60" w:line="360" w:lineRule="auto"/>
              <w:rPr>
                <w:rFonts w:ascii="Arial Unicode MS" w:eastAsia="Arial Unicode MS" w:hAnsi="Arial Unicode MS" w:cs="David"/>
                <w:b/>
                <w:bCs/>
                <w:sz w:val="24"/>
                <w:szCs w:val="24"/>
              </w:rPr>
            </w:pPr>
            <w:r w:rsidRPr="00C74496">
              <w:rPr>
                <w:rFonts w:ascii="David" w:eastAsia="Calibri" w:hAnsi="David" w:cs="David"/>
                <w:b/>
                <w:bCs/>
                <w:sz w:val="24"/>
                <w:szCs w:val="24"/>
                <w:rtl/>
              </w:rPr>
              <w:t xml:space="preserve">מספר </w:t>
            </w:r>
            <w:r w:rsidRPr="00C74496">
              <w:rPr>
                <w:rFonts w:ascii="Arial Unicode MS" w:eastAsia="Arial Unicode MS" w:hAnsi="Arial Unicode MS" w:cs="David"/>
                <w:b/>
                <w:bCs/>
                <w:sz w:val="24"/>
                <w:szCs w:val="24"/>
                <w:rtl/>
              </w:rPr>
              <w:t xml:space="preserve">החלטה </w:t>
            </w:r>
          </w:p>
        </w:tc>
        <w:tc>
          <w:tcPr>
            <w:tcW w:w="97" w:type="pct"/>
            <w:tcMar>
              <w:top w:w="15" w:type="dxa"/>
              <w:left w:w="15" w:type="dxa"/>
              <w:bottom w:w="15" w:type="dxa"/>
              <w:right w:w="15" w:type="dxa"/>
            </w:tcMar>
            <w:vAlign w:val="center"/>
            <w:hideMark/>
          </w:tcPr>
          <w:p w:rsidR="00C74496" w:rsidRPr="00C74496" w:rsidRDefault="00C74496" w:rsidP="00C74496">
            <w:pPr>
              <w:spacing w:before="60" w:line="360" w:lineRule="auto"/>
              <w:rPr>
                <w:rFonts w:ascii="Arial Unicode MS" w:eastAsia="Arial Unicode MS" w:hAnsi="Arial Unicode MS" w:cs="David"/>
                <w:b/>
                <w:bCs/>
                <w:sz w:val="24"/>
                <w:szCs w:val="24"/>
              </w:rPr>
            </w:pPr>
            <w:r w:rsidRPr="00C74496">
              <w:rPr>
                <w:rFonts w:ascii="David" w:eastAsia="Calibri" w:hAnsi="David" w:cs="David"/>
                <w:b/>
                <w:bCs/>
                <w:sz w:val="24"/>
                <w:szCs w:val="24"/>
                <w:rtl/>
              </w:rPr>
              <w:t>:</w:t>
            </w:r>
          </w:p>
        </w:tc>
        <w:tc>
          <w:tcPr>
            <w:tcW w:w="668" w:type="pct"/>
            <w:tcMar>
              <w:top w:w="15" w:type="dxa"/>
              <w:left w:w="15" w:type="dxa"/>
              <w:bottom w:w="15" w:type="dxa"/>
              <w:right w:w="15" w:type="dxa"/>
            </w:tcMar>
            <w:vAlign w:val="center"/>
            <w:hideMark/>
          </w:tcPr>
          <w:p w:rsidR="00C74496" w:rsidRPr="00C74496" w:rsidRDefault="00C74496" w:rsidP="00C74496">
            <w:pPr>
              <w:spacing w:before="60" w:line="360" w:lineRule="auto"/>
              <w:rPr>
                <w:rFonts w:ascii="Arial Unicode MS" w:eastAsia="Arial Unicode MS" w:hAnsi="Arial Unicode MS" w:cs="David"/>
                <w:b/>
                <w:bCs/>
                <w:sz w:val="24"/>
                <w:szCs w:val="24"/>
              </w:rPr>
            </w:pPr>
            <w:r w:rsidRPr="00C74496">
              <w:rPr>
                <w:rFonts w:ascii="Arial Unicode MS" w:eastAsia="Arial Unicode MS" w:hAnsi="Arial Unicode MS" w:cs="David"/>
                <w:b/>
                <w:bCs/>
                <w:sz w:val="24"/>
                <w:szCs w:val="24"/>
                <w:rtl/>
              </w:rPr>
              <w:t>1537</w:t>
            </w:r>
          </w:p>
        </w:tc>
      </w:tr>
      <w:tr w:rsidR="00C74496" w:rsidRPr="00C74496" w:rsidTr="00C74496">
        <w:trPr>
          <w:tblCellSpacing w:w="0" w:type="dxa"/>
        </w:trPr>
        <w:tc>
          <w:tcPr>
            <w:tcW w:w="3498" w:type="pct"/>
            <w:tcMar>
              <w:top w:w="15" w:type="dxa"/>
              <w:left w:w="15" w:type="dxa"/>
              <w:bottom w:w="15" w:type="dxa"/>
              <w:right w:w="15" w:type="dxa"/>
            </w:tcMar>
            <w:vAlign w:val="center"/>
          </w:tcPr>
          <w:p w:rsidR="00C74496" w:rsidRPr="00C74496" w:rsidRDefault="00C74496" w:rsidP="00C74496">
            <w:pPr>
              <w:spacing w:before="60" w:line="360" w:lineRule="auto"/>
              <w:rPr>
                <w:rFonts w:ascii="Arial Unicode MS" w:eastAsia="Arial Unicode MS" w:hAnsi="Arial Unicode MS" w:cs="David"/>
                <w:b/>
                <w:bCs/>
                <w:sz w:val="12"/>
                <w:szCs w:val="12"/>
              </w:rPr>
            </w:pPr>
          </w:p>
        </w:tc>
        <w:tc>
          <w:tcPr>
            <w:tcW w:w="736" w:type="pct"/>
            <w:tcMar>
              <w:top w:w="15" w:type="dxa"/>
              <w:left w:w="15" w:type="dxa"/>
              <w:bottom w:w="15" w:type="dxa"/>
              <w:right w:w="15" w:type="dxa"/>
            </w:tcMar>
            <w:vAlign w:val="center"/>
            <w:hideMark/>
          </w:tcPr>
          <w:p w:rsidR="00C74496" w:rsidRPr="00C74496" w:rsidRDefault="00C74496" w:rsidP="00C74496">
            <w:pPr>
              <w:spacing w:before="60" w:line="360" w:lineRule="auto"/>
              <w:rPr>
                <w:rFonts w:ascii="Arial Unicode MS" w:eastAsia="Arial Unicode MS" w:hAnsi="Arial Unicode MS" w:cs="David"/>
                <w:b/>
                <w:bCs/>
                <w:sz w:val="24"/>
                <w:szCs w:val="24"/>
              </w:rPr>
            </w:pPr>
            <w:r w:rsidRPr="00C74496">
              <w:rPr>
                <w:rFonts w:ascii="David" w:eastAsia="Calibri" w:hAnsi="David" w:cs="David"/>
                <w:b/>
                <w:bCs/>
                <w:sz w:val="24"/>
                <w:szCs w:val="24"/>
                <w:rtl/>
              </w:rPr>
              <w:t>תאריך</w:t>
            </w:r>
          </w:p>
        </w:tc>
        <w:tc>
          <w:tcPr>
            <w:tcW w:w="97" w:type="pct"/>
            <w:tcMar>
              <w:top w:w="15" w:type="dxa"/>
              <w:left w:w="15" w:type="dxa"/>
              <w:bottom w:w="15" w:type="dxa"/>
              <w:right w:w="15" w:type="dxa"/>
            </w:tcMar>
            <w:vAlign w:val="center"/>
            <w:hideMark/>
          </w:tcPr>
          <w:p w:rsidR="00C74496" w:rsidRPr="00C74496" w:rsidRDefault="00C74496" w:rsidP="00C74496">
            <w:pPr>
              <w:spacing w:before="60" w:line="360" w:lineRule="auto"/>
              <w:rPr>
                <w:rFonts w:ascii="Arial Unicode MS" w:eastAsia="Arial Unicode MS" w:hAnsi="Arial Unicode MS" w:cs="David"/>
                <w:b/>
                <w:bCs/>
                <w:sz w:val="24"/>
                <w:szCs w:val="24"/>
              </w:rPr>
            </w:pPr>
            <w:r w:rsidRPr="00C74496">
              <w:rPr>
                <w:rFonts w:ascii="David" w:eastAsia="Calibri" w:hAnsi="David" w:cs="David"/>
                <w:b/>
                <w:bCs/>
                <w:sz w:val="24"/>
                <w:szCs w:val="24"/>
                <w:rtl/>
              </w:rPr>
              <w:t>:</w:t>
            </w:r>
          </w:p>
        </w:tc>
        <w:tc>
          <w:tcPr>
            <w:tcW w:w="668" w:type="pct"/>
            <w:tcMar>
              <w:top w:w="15" w:type="dxa"/>
              <w:left w:w="15" w:type="dxa"/>
              <w:bottom w:w="15" w:type="dxa"/>
              <w:right w:w="15" w:type="dxa"/>
            </w:tcMar>
            <w:vAlign w:val="center"/>
            <w:hideMark/>
          </w:tcPr>
          <w:p w:rsidR="00C74496" w:rsidRPr="00C74496" w:rsidRDefault="00C74496" w:rsidP="00C74496">
            <w:pPr>
              <w:spacing w:before="60" w:line="360" w:lineRule="auto"/>
              <w:rPr>
                <w:rFonts w:ascii="Arial Unicode MS" w:eastAsia="Arial Unicode MS" w:hAnsi="Arial Unicode MS" w:cs="David"/>
                <w:b/>
                <w:bCs/>
                <w:sz w:val="24"/>
                <w:szCs w:val="24"/>
              </w:rPr>
            </w:pPr>
            <w:r w:rsidRPr="00C74496">
              <w:rPr>
                <w:rFonts w:ascii="Arial Unicode MS" w:eastAsia="Arial Unicode MS" w:hAnsi="Arial Unicode MS" w:cs="David"/>
                <w:b/>
                <w:bCs/>
                <w:sz w:val="24"/>
                <w:szCs w:val="24"/>
                <w:rtl/>
              </w:rPr>
              <w:t>26/2/18</w:t>
            </w:r>
          </w:p>
        </w:tc>
      </w:tr>
    </w:tbl>
    <w:p w:rsidR="00C74496" w:rsidRPr="00C74496" w:rsidRDefault="00C74496" w:rsidP="00C74496">
      <w:pPr>
        <w:spacing w:line="360" w:lineRule="auto"/>
        <w:jc w:val="center"/>
        <w:rPr>
          <w:rFonts w:ascii="David" w:eastAsia="Calibri" w:hAnsi="David" w:cs="David"/>
          <w:color w:val="000000"/>
          <w:sz w:val="24"/>
          <w:szCs w:val="24"/>
        </w:rPr>
      </w:pPr>
      <w:r w:rsidRPr="00C74496">
        <w:rPr>
          <w:rFonts w:ascii="David" w:eastAsia="Calibri" w:hAnsi="David" w:cs="David"/>
          <w:b/>
          <w:bCs/>
          <w:sz w:val="28"/>
          <w:szCs w:val="28"/>
          <w:u w:val="single"/>
          <w:rtl/>
        </w:rPr>
        <w:t>מדיניות אחידה למתן הנחות בקרקע</w:t>
      </w:r>
    </w:p>
    <w:p w:rsidR="00C74496" w:rsidRPr="00C74496" w:rsidRDefault="00C74496" w:rsidP="00C74496">
      <w:pPr>
        <w:spacing w:line="360" w:lineRule="auto"/>
        <w:jc w:val="center"/>
        <w:rPr>
          <w:rFonts w:ascii="David" w:eastAsia="Calibri" w:hAnsi="David" w:cs="David"/>
          <w:color w:val="000000"/>
          <w:sz w:val="24"/>
          <w:szCs w:val="24"/>
          <w:rtl/>
        </w:rPr>
      </w:pPr>
      <w:bookmarkStart w:id="0" w:name="_GoBack"/>
      <w:bookmarkEnd w:id="0"/>
      <w:r w:rsidRPr="00C74496">
        <w:rPr>
          <w:rFonts w:ascii="David" w:eastAsia="Calibri" w:hAnsi="David" w:cs="David"/>
          <w:b/>
          <w:bCs/>
          <w:color w:val="000000"/>
          <w:sz w:val="24"/>
          <w:szCs w:val="24"/>
          <w:u w:val="single"/>
          <w:rtl/>
        </w:rPr>
        <w:t>נוסח משולב</w:t>
      </w:r>
    </w:p>
    <w:p w:rsidR="00C74496" w:rsidRPr="00C74496" w:rsidRDefault="00C74496" w:rsidP="00C74496">
      <w:pPr>
        <w:spacing w:line="360" w:lineRule="auto"/>
        <w:jc w:val="both"/>
        <w:rPr>
          <w:rFonts w:ascii="David" w:eastAsia="Calibri" w:hAnsi="David" w:cs="David"/>
          <w:color w:val="000000"/>
          <w:sz w:val="24"/>
          <w:szCs w:val="24"/>
          <w:rtl/>
        </w:rPr>
      </w:pPr>
      <w:r w:rsidRPr="00C74496">
        <w:rPr>
          <w:rFonts w:ascii="David" w:eastAsia="Calibri" w:hAnsi="David" w:cs="David"/>
          <w:color w:val="000000"/>
          <w:sz w:val="24"/>
          <w:szCs w:val="24"/>
          <w:rtl/>
        </w:rPr>
        <w:t xml:space="preserve">בתוקף סמכותה לפי סעיף 3 לחוק רשות מקרקעי ישראל, </w:t>
      </w:r>
      <w:proofErr w:type="spellStart"/>
      <w:r w:rsidRPr="00C74496">
        <w:rPr>
          <w:rFonts w:ascii="David" w:eastAsia="Calibri" w:hAnsi="David" w:cs="David"/>
          <w:color w:val="000000"/>
          <w:sz w:val="24"/>
          <w:szCs w:val="24"/>
          <w:rtl/>
        </w:rPr>
        <w:t>התש"ך</w:t>
      </w:r>
      <w:proofErr w:type="spellEnd"/>
      <w:r w:rsidRPr="00C74496">
        <w:rPr>
          <w:rFonts w:ascii="David" w:eastAsia="Calibri" w:hAnsi="David" w:cs="David"/>
          <w:color w:val="000000"/>
          <w:sz w:val="24"/>
          <w:szCs w:val="24"/>
          <w:rtl/>
        </w:rPr>
        <w:t xml:space="preserve"> – 1960, החליטה מועצת מקרקעי ישראל מיום י"א באדר תשע"ח (26 בפברואר 2018) לתקן את החלטת מועצה מספר 1505 כלהלן:</w:t>
      </w:r>
    </w:p>
    <w:p w:rsidR="00C74496" w:rsidRPr="00C74496" w:rsidRDefault="00C74496" w:rsidP="00C74496">
      <w:pPr>
        <w:spacing w:after="0" w:line="360" w:lineRule="auto"/>
        <w:jc w:val="both"/>
        <w:rPr>
          <w:rFonts w:ascii="Calibri" w:eastAsia="Calibri" w:hAnsi="Calibri" w:cs="David"/>
          <w:b/>
          <w:bCs/>
          <w:color w:val="000000"/>
          <w:sz w:val="24"/>
          <w:szCs w:val="24"/>
          <w:u w:val="single"/>
          <w:rtl/>
        </w:rPr>
      </w:pPr>
      <w:r w:rsidRPr="00C74496">
        <w:rPr>
          <w:rFonts w:ascii="David" w:eastAsia="Calibri" w:hAnsi="David" w:cs="David"/>
          <w:b/>
          <w:bCs/>
          <w:color w:val="000000"/>
          <w:sz w:val="24"/>
          <w:szCs w:val="24"/>
          <w:u w:val="single"/>
          <w:rtl/>
        </w:rPr>
        <w:t>הגדרות</w:t>
      </w:r>
    </w:p>
    <w:tbl>
      <w:tblPr>
        <w:bidiVisual/>
        <w:tblW w:w="0" w:type="auto"/>
        <w:tblInd w:w="192" w:type="dxa"/>
        <w:tblLook w:val="04A0" w:firstRow="1" w:lastRow="0" w:firstColumn="1" w:lastColumn="0" w:noHBand="0" w:noVBand="1"/>
      </w:tblPr>
      <w:tblGrid>
        <w:gridCol w:w="1985"/>
        <w:gridCol w:w="425"/>
        <w:gridCol w:w="5920"/>
      </w:tblGrid>
      <w:tr w:rsidR="00C74496" w:rsidRPr="00C74496" w:rsidTr="00C74496">
        <w:tc>
          <w:tcPr>
            <w:tcW w:w="198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proofErr w:type="spellStart"/>
            <w:r w:rsidRPr="00C74496">
              <w:rPr>
                <w:rFonts w:ascii="David" w:eastAsia="Calibri" w:hAnsi="David" w:cs="David"/>
                <w:b/>
                <w:bCs/>
                <w:color w:val="000000"/>
                <w:sz w:val="24"/>
                <w:szCs w:val="24"/>
                <w:rtl/>
              </w:rPr>
              <w:t>ישובי</w:t>
            </w:r>
            <w:proofErr w:type="spellEnd"/>
            <w:r w:rsidRPr="00C74496">
              <w:rPr>
                <w:rFonts w:ascii="David" w:eastAsia="Calibri" w:hAnsi="David" w:cs="David"/>
                <w:b/>
                <w:bCs/>
                <w:color w:val="000000"/>
                <w:sz w:val="24"/>
                <w:szCs w:val="24"/>
                <w:rtl/>
              </w:rPr>
              <w:t xml:space="preserve"> קו עימות</w:t>
            </w:r>
          </w:p>
        </w:tc>
        <w:tc>
          <w:tcPr>
            <w:tcW w:w="42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w:t>
            </w:r>
          </w:p>
        </w:tc>
        <w:tc>
          <w:tcPr>
            <w:tcW w:w="5920"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 xml:space="preserve">כהגדרתם בסעיף 40 ה' לחוק יסודות התקציב, </w:t>
            </w:r>
            <w:proofErr w:type="spellStart"/>
            <w:r w:rsidRPr="00C74496">
              <w:rPr>
                <w:rFonts w:ascii="David" w:eastAsia="Calibri" w:hAnsi="David" w:cs="David"/>
                <w:color w:val="000000"/>
                <w:sz w:val="24"/>
                <w:szCs w:val="24"/>
                <w:rtl/>
              </w:rPr>
              <w:t>התשמ"ה</w:t>
            </w:r>
            <w:proofErr w:type="spellEnd"/>
            <w:r w:rsidRPr="00C74496">
              <w:rPr>
                <w:rFonts w:ascii="David" w:eastAsia="Calibri" w:hAnsi="David" w:cs="David"/>
                <w:color w:val="000000"/>
                <w:sz w:val="24"/>
                <w:szCs w:val="24"/>
                <w:rtl/>
              </w:rPr>
              <w:t xml:space="preserve"> – 1985.</w:t>
            </w:r>
          </w:p>
        </w:tc>
      </w:tr>
      <w:tr w:rsidR="00C74496" w:rsidRPr="00C74496" w:rsidTr="00C74496">
        <w:trPr>
          <w:trHeight w:val="649"/>
        </w:trPr>
        <w:tc>
          <w:tcPr>
            <w:tcW w:w="198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b/>
                <w:bCs/>
                <w:color w:val="000000"/>
                <w:sz w:val="24"/>
                <w:szCs w:val="24"/>
              </w:rPr>
            </w:pPr>
            <w:r w:rsidRPr="00C74496">
              <w:rPr>
                <w:rFonts w:ascii="David" w:eastAsia="Calibri" w:hAnsi="David" w:cs="David"/>
                <w:b/>
                <w:bCs/>
                <w:color w:val="000000"/>
                <w:sz w:val="24"/>
                <w:szCs w:val="24"/>
                <w:rtl/>
              </w:rPr>
              <w:t>רמת הגולן</w:t>
            </w:r>
          </w:p>
        </w:tc>
        <w:tc>
          <w:tcPr>
            <w:tcW w:w="42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w:t>
            </w:r>
          </w:p>
        </w:tc>
        <w:tc>
          <w:tcPr>
            <w:tcW w:w="5920"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שטח רמת הגולן כמתואר בתוספת לחוק רמת הגולן, התשמ"ב-1981.</w:t>
            </w:r>
          </w:p>
        </w:tc>
      </w:tr>
      <w:tr w:rsidR="00C74496" w:rsidRPr="00C74496" w:rsidTr="00C74496">
        <w:trPr>
          <w:trHeight w:val="362"/>
        </w:trPr>
        <w:tc>
          <w:tcPr>
            <w:tcW w:w="198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b/>
                <w:bCs/>
                <w:color w:val="000000"/>
                <w:sz w:val="24"/>
                <w:szCs w:val="24"/>
              </w:rPr>
            </w:pPr>
            <w:r w:rsidRPr="00C74496">
              <w:rPr>
                <w:rFonts w:ascii="David" w:eastAsia="Calibri" w:hAnsi="David" w:cs="David"/>
                <w:b/>
                <w:bCs/>
                <w:color w:val="000000"/>
                <w:sz w:val="24"/>
                <w:szCs w:val="24"/>
                <w:rtl/>
              </w:rPr>
              <w:t xml:space="preserve">ישובים </w:t>
            </w:r>
            <w:proofErr w:type="spellStart"/>
            <w:r w:rsidRPr="00C74496">
              <w:rPr>
                <w:rFonts w:ascii="David" w:eastAsia="Calibri" w:hAnsi="David" w:cs="David"/>
                <w:b/>
                <w:bCs/>
                <w:color w:val="000000"/>
                <w:sz w:val="24"/>
                <w:szCs w:val="24"/>
                <w:rtl/>
              </w:rPr>
              <w:t>סמוכי</w:t>
            </w:r>
            <w:proofErr w:type="spellEnd"/>
            <w:r w:rsidRPr="00C74496">
              <w:rPr>
                <w:rFonts w:ascii="David" w:eastAsia="Calibri" w:hAnsi="David" w:cs="David"/>
                <w:b/>
                <w:bCs/>
                <w:color w:val="000000"/>
                <w:sz w:val="24"/>
                <w:szCs w:val="24"/>
                <w:rtl/>
              </w:rPr>
              <w:t xml:space="preserve"> גבול</w:t>
            </w:r>
          </w:p>
        </w:tc>
        <w:tc>
          <w:tcPr>
            <w:tcW w:w="42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w:t>
            </w:r>
          </w:p>
        </w:tc>
        <w:tc>
          <w:tcPr>
            <w:tcW w:w="5920"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כהגדרתם בהחלטת הממשלה מספר 1527 מיום 19.6.16.</w:t>
            </w:r>
          </w:p>
        </w:tc>
      </w:tr>
      <w:tr w:rsidR="00C74496" w:rsidRPr="00C74496" w:rsidTr="00C74496">
        <w:tc>
          <w:tcPr>
            <w:tcW w:w="198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b/>
                <w:bCs/>
                <w:color w:val="000000"/>
                <w:sz w:val="24"/>
                <w:szCs w:val="24"/>
              </w:rPr>
            </w:pPr>
            <w:r w:rsidRPr="00C74496">
              <w:rPr>
                <w:rFonts w:ascii="David" w:eastAsia="Calibri" w:hAnsi="David" w:cs="David"/>
                <w:b/>
                <w:bCs/>
                <w:color w:val="000000"/>
                <w:sz w:val="24"/>
                <w:szCs w:val="24"/>
                <w:rtl/>
              </w:rPr>
              <w:t>ישובים חדשים</w:t>
            </w:r>
          </w:p>
        </w:tc>
        <w:tc>
          <w:tcPr>
            <w:tcW w:w="42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w:t>
            </w:r>
          </w:p>
        </w:tc>
        <w:tc>
          <w:tcPr>
            <w:tcW w:w="5920"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כהגדרתם בהחלטת הממשלה מספר 1527 מיום 19.6.16.</w:t>
            </w:r>
          </w:p>
        </w:tc>
      </w:tr>
      <w:tr w:rsidR="00C74496" w:rsidRPr="00C74496" w:rsidTr="00C74496">
        <w:tc>
          <w:tcPr>
            <w:tcW w:w="198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b/>
                <w:bCs/>
                <w:color w:val="000000"/>
                <w:sz w:val="24"/>
                <w:szCs w:val="24"/>
                <w:rtl/>
              </w:rPr>
              <w:t>מחיר תקרה</w:t>
            </w:r>
          </w:p>
        </w:tc>
        <w:tc>
          <w:tcPr>
            <w:tcW w:w="42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w:t>
            </w:r>
          </w:p>
        </w:tc>
        <w:tc>
          <w:tcPr>
            <w:tcW w:w="5920"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מחיר קרקע שאינו כולל מע"מ, למגרש מפותח מהוון ליחידת דיור לאחר הפחתת עלויות הפיתוח או מ"ר קרקע לאחר הפחתת עלויות הפיתוח, בהתאם לעניין, שמעליו לא תינתן הנחה בקרקע ותשולם תמורה מלאה.</w:t>
            </w:r>
          </w:p>
        </w:tc>
      </w:tr>
      <w:tr w:rsidR="00C74496" w:rsidRPr="00C74496" w:rsidTr="00C74496">
        <w:tc>
          <w:tcPr>
            <w:tcW w:w="198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b/>
                <w:bCs/>
                <w:sz w:val="24"/>
                <w:szCs w:val="24"/>
                <w:rtl/>
              </w:rPr>
              <w:t>ערך הקרקע</w:t>
            </w:r>
          </w:p>
        </w:tc>
        <w:tc>
          <w:tcPr>
            <w:tcW w:w="425"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color w:val="000000"/>
                <w:sz w:val="24"/>
                <w:szCs w:val="24"/>
                <w:rtl/>
              </w:rPr>
              <w:t>-</w:t>
            </w:r>
          </w:p>
        </w:tc>
        <w:tc>
          <w:tcPr>
            <w:tcW w:w="5920" w:type="dxa"/>
            <w:hideMark/>
          </w:tcPr>
          <w:p w:rsidR="00C74496" w:rsidRPr="00C74496" w:rsidRDefault="00C74496" w:rsidP="00C74496">
            <w:pPr>
              <w:tabs>
                <w:tab w:val="left" w:pos="2930"/>
                <w:tab w:val="left" w:pos="3628"/>
              </w:tabs>
              <w:spacing w:before="120" w:after="120" w:line="360" w:lineRule="auto"/>
              <w:jc w:val="both"/>
              <w:rPr>
                <w:rFonts w:ascii="David" w:eastAsia="Calibri" w:hAnsi="David" w:cs="David"/>
                <w:color w:val="000000"/>
                <w:sz w:val="24"/>
                <w:szCs w:val="24"/>
              </w:rPr>
            </w:pPr>
            <w:r w:rsidRPr="00C74496">
              <w:rPr>
                <w:rFonts w:ascii="David" w:eastAsia="Calibri" w:hAnsi="David" w:cs="David"/>
                <w:sz w:val="24"/>
                <w:szCs w:val="24"/>
                <w:rtl/>
              </w:rPr>
              <w:t>ערך זכויות הבעלות במקרקעין.</w:t>
            </w:r>
          </w:p>
        </w:tc>
      </w:tr>
    </w:tbl>
    <w:p w:rsidR="00C74496" w:rsidRPr="00C74496" w:rsidRDefault="00C74496" w:rsidP="00C74496">
      <w:pPr>
        <w:spacing w:line="360" w:lineRule="auto"/>
        <w:jc w:val="both"/>
        <w:rPr>
          <w:rFonts w:ascii="David" w:eastAsia="Calibri" w:hAnsi="David" w:cs="David"/>
          <w:color w:val="000000"/>
          <w:sz w:val="24"/>
          <w:szCs w:val="24"/>
        </w:rPr>
      </w:pPr>
    </w:p>
    <w:p w:rsidR="00C74496" w:rsidRPr="00C74496" w:rsidRDefault="00C74496" w:rsidP="00C74496">
      <w:pPr>
        <w:numPr>
          <w:ilvl w:val="0"/>
          <w:numId w:val="2"/>
        </w:numPr>
        <w:tabs>
          <w:tab w:val="left" w:pos="523"/>
        </w:tabs>
        <w:spacing w:after="0" w:line="360" w:lineRule="auto"/>
        <w:ind w:left="509" w:hanging="367"/>
        <w:jc w:val="both"/>
        <w:rPr>
          <w:rFonts w:ascii="David" w:eastAsia="Calibri" w:hAnsi="David" w:cs="David"/>
          <w:b/>
          <w:bCs/>
          <w:color w:val="000000"/>
          <w:sz w:val="24"/>
          <w:szCs w:val="24"/>
          <w:u w:val="single"/>
          <w:rtl/>
        </w:rPr>
      </w:pPr>
      <w:r w:rsidRPr="00C74496">
        <w:rPr>
          <w:rFonts w:ascii="David" w:eastAsia="Calibri" w:hAnsi="David" w:cs="David"/>
          <w:b/>
          <w:bCs/>
          <w:color w:val="000000"/>
          <w:sz w:val="24"/>
          <w:szCs w:val="24"/>
          <w:u w:val="single"/>
          <w:rtl/>
        </w:rPr>
        <w:t>הקצאת מקרקעין למגורים, מוסדות ציבור וצורכי ציבור</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בהקצאת מקרקעין לבניה למגורים שלא בדרך של מכרז, למעט הקצאת מקרקעין בהתאם לסעיף 1.2, ישולמו לרשות מקרקעי ישראל (להלן: "</w:t>
      </w:r>
      <w:r w:rsidRPr="00C74496">
        <w:rPr>
          <w:rFonts w:ascii="Calibri" w:eastAsia="Calibri" w:hAnsi="Calibri" w:cs="David"/>
          <w:b/>
          <w:bCs/>
          <w:color w:val="000000"/>
          <w:sz w:val="24"/>
          <w:szCs w:val="24"/>
          <w:rtl/>
        </w:rPr>
        <w:t>הרשות</w:t>
      </w:r>
      <w:r w:rsidRPr="00C74496">
        <w:rPr>
          <w:rFonts w:ascii="Calibri" w:eastAsia="Calibri" w:hAnsi="Calibri" w:cs="David"/>
          <w:color w:val="000000"/>
          <w:sz w:val="24"/>
          <w:szCs w:val="24"/>
          <w:rtl/>
        </w:rPr>
        <w:t>") דמי חכירה מהוונים מופחתים כלהלן:</w:t>
      </w:r>
    </w:p>
    <w:tbl>
      <w:tblPr>
        <w:bidiVisual/>
        <w:tblW w:w="0" w:type="auto"/>
        <w:tblInd w:w="1130" w:type="dxa"/>
        <w:tblCellMar>
          <w:left w:w="0" w:type="dxa"/>
          <w:right w:w="0" w:type="dxa"/>
        </w:tblCellMar>
        <w:tblLook w:val="04A0" w:firstRow="1" w:lastRow="0" w:firstColumn="1" w:lastColumn="0" w:noHBand="0" w:noVBand="1"/>
      </w:tblPr>
      <w:tblGrid>
        <w:gridCol w:w="2264"/>
        <w:gridCol w:w="182"/>
        <w:gridCol w:w="4730"/>
      </w:tblGrid>
      <w:tr w:rsidR="00C74496" w:rsidRPr="00C74496" w:rsidTr="00C74496">
        <w:tc>
          <w:tcPr>
            <w:tcW w:w="226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proofErr w:type="spellStart"/>
            <w:r w:rsidRPr="00C74496">
              <w:rPr>
                <w:rFonts w:ascii="Calibri" w:eastAsia="Calibri" w:hAnsi="Calibri" w:cs="David"/>
                <w:b/>
                <w:bCs/>
                <w:color w:val="000000"/>
                <w:sz w:val="24"/>
                <w:szCs w:val="24"/>
                <w:rtl/>
              </w:rPr>
              <w:t>ישובי</w:t>
            </w:r>
            <w:proofErr w:type="spellEnd"/>
            <w:r w:rsidRPr="00C74496">
              <w:rPr>
                <w:rFonts w:ascii="Calibri" w:eastAsia="Calibri" w:hAnsi="Calibri" w:cs="David"/>
                <w:b/>
                <w:bCs/>
                <w:color w:val="000000"/>
                <w:sz w:val="24"/>
                <w:szCs w:val="24"/>
                <w:rtl/>
              </w:rPr>
              <w:t xml:space="preserve"> קו עימות</w:t>
            </w:r>
          </w:p>
        </w:tc>
        <w:tc>
          <w:tcPr>
            <w:tcW w:w="18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73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פטור מלא מתשלום דמי חכירה מהוונים לתקופת חכירה מלאה ולחידוש במסגרת יובל חכירה, ומדמי חכירה שנתיים (לא כולל היוון יתרת שנות חכירה)</w:t>
            </w:r>
          </w:p>
        </w:tc>
      </w:tr>
      <w:tr w:rsidR="00C74496" w:rsidRPr="00C74496" w:rsidTr="00C74496">
        <w:tc>
          <w:tcPr>
            <w:tcW w:w="226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proofErr w:type="spellStart"/>
            <w:r w:rsidRPr="00C74496">
              <w:rPr>
                <w:rFonts w:ascii="Calibri" w:eastAsia="Calibri" w:hAnsi="Calibri" w:cs="David"/>
                <w:b/>
                <w:bCs/>
                <w:color w:val="000000"/>
                <w:sz w:val="24"/>
                <w:szCs w:val="24"/>
                <w:rtl/>
              </w:rPr>
              <w:t>ישובי</w:t>
            </w:r>
            <w:proofErr w:type="spellEnd"/>
            <w:r w:rsidRPr="00C74496">
              <w:rPr>
                <w:rFonts w:ascii="Calibri" w:eastAsia="Calibri" w:hAnsi="Calibri" w:cs="David"/>
                <w:b/>
                <w:bCs/>
                <w:color w:val="000000"/>
                <w:sz w:val="24"/>
                <w:szCs w:val="24"/>
                <w:rtl/>
              </w:rPr>
              <w:t xml:space="preserve"> עדיפות לאומית א'</w:t>
            </w:r>
          </w:p>
        </w:tc>
        <w:tc>
          <w:tcPr>
            <w:tcW w:w="18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73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31% מערך הקרקע.</w:t>
            </w:r>
          </w:p>
        </w:tc>
      </w:tr>
      <w:tr w:rsidR="00C74496" w:rsidRPr="00C74496" w:rsidTr="00C74496">
        <w:tc>
          <w:tcPr>
            <w:tcW w:w="226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proofErr w:type="spellStart"/>
            <w:r w:rsidRPr="00C74496">
              <w:rPr>
                <w:rFonts w:ascii="Calibri" w:eastAsia="Calibri" w:hAnsi="Calibri" w:cs="David"/>
                <w:b/>
                <w:bCs/>
                <w:color w:val="000000"/>
                <w:sz w:val="24"/>
                <w:szCs w:val="24"/>
                <w:rtl/>
              </w:rPr>
              <w:t>ישובי</w:t>
            </w:r>
            <w:proofErr w:type="spellEnd"/>
            <w:r w:rsidRPr="00C74496">
              <w:rPr>
                <w:rFonts w:ascii="Calibri" w:eastAsia="Calibri" w:hAnsi="Calibri" w:cs="David"/>
                <w:b/>
                <w:bCs/>
                <w:color w:val="000000"/>
                <w:sz w:val="24"/>
                <w:szCs w:val="24"/>
                <w:rtl/>
              </w:rPr>
              <w:t xml:space="preserve"> עדיפות לאומית ב'</w:t>
            </w:r>
          </w:p>
        </w:tc>
        <w:tc>
          <w:tcPr>
            <w:tcW w:w="18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73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51% מערך הקרקע.</w:t>
            </w:r>
          </w:p>
        </w:tc>
      </w:tr>
    </w:tbl>
    <w:p w:rsidR="00C74496" w:rsidRPr="00C74496" w:rsidRDefault="00C74496" w:rsidP="00C74496">
      <w:pPr>
        <w:keepLines/>
        <w:widowControl w:val="0"/>
        <w:tabs>
          <w:tab w:val="left" w:pos="624"/>
          <w:tab w:val="left" w:pos="793"/>
          <w:tab w:val="left" w:pos="1247"/>
        </w:tabs>
        <w:autoSpaceDE w:val="0"/>
        <w:autoSpaceDN w:val="0"/>
        <w:adjustRightInd w:val="0"/>
        <w:snapToGrid w:val="0"/>
        <w:spacing w:after="0" w:line="360" w:lineRule="auto"/>
        <w:ind w:left="785"/>
        <w:jc w:val="both"/>
        <w:rPr>
          <w:rFonts w:ascii="Calibri" w:eastAsia="Calibri" w:hAnsi="Calibri" w:cs="David"/>
          <w:color w:val="000000"/>
          <w:sz w:val="24"/>
          <w:szCs w:val="24"/>
        </w:rPr>
      </w:pPr>
    </w:p>
    <w:p w:rsidR="00C74496" w:rsidRPr="00C74496" w:rsidRDefault="00C74496" w:rsidP="00C74496">
      <w:pPr>
        <w:keepLines/>
        <w:widowControl w:val="0"/>
        <w:tabs>
          <w:tab w:val="left" w:pos="368"/>
          <w:tab w:val="left" w:pos="793"/>
          <w:tab w:val="left" w:pos="1247"/>
        </w:tabs>
        <w:autoSpaceDE w:val="0"/>
        <w:autoSpaceDN w:val="0"/>
        <w:adjustRightInd w:val="0"/>
        <w:snapToGrid w:val="0"/>
        <w:spacing w:after="0" w:line="360" w:lineRule="auto"/>
        <w:ind w:left="624" w:hanging="624"/>
        <w:jc w:val="both"/>
        <w:rPr>
          <w:rFonts w:ascii="Calibri" w:eastAsia="Calibri" w:hAnsi="Calibri" w:cs="David"/>
          <w:color w:val="000000"/>
          <w:sz w:val="24"/>
          <w:szCs w:val="24"/>
        </w:rPr>
      </w:pPr>
      <w:r w:rsidRPr="00C74496">
        <w:rPr>
          <w:rFonts w:ascii="Calibri" w:eastAsia="Calibri" w:hAnsi="Calibri" w:cs="David"/>
          <w:color w:val="000000"/>
          <w:sz w:val="24"/>
          <w:szCs w:val="24"/>
          <w:rtl/>
        </w:rPr>
        <w:lastRenderedPageBreak/>
        <w:tab/>
      </w:r>
      <w:r w:rsidRPr="00C74496">
        <w:rPr>
          <w:rFonts w:ascii="Calibri" w:eastAsia="Calibri" w:hAnsi="Calibri" w:cs="David"/>
          <w:color w:val="000000"/>
          <w:sz w:val="24"/>
          <w:szCs w:val="24"/>
          <w:rtl/>
        </w:rPr>
        <w:tab/>
        <w:t xml:space="preserve"> </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 xml:space="preserve">בהקצאת מקרקעין לבניה למגורים בבנייה </w:t>
      </w:r>
      <w:proofErr w:type="spellStart"/>
      <w:r w:rsidRPr="00C74496">
        <w:rPr>
          <w:rFonts w:ascii="Calibri" w:eastAsia="Calibri" w:hAnsi="Calibri" w:cs="David"/>
          <w:color w:val="000000"/>
          <w:sz w:val="24"/>
          <w:szCs w:val="24"/>
          <w:rtl/>
        </w:rPr>
        <w:t>צמודת</w:t>
      </w:r>
      <w:proofErr w:type="spellEnd"/>
      <w:r w:rsidRPr="00C74496">
        <w:rPr>
          <w:rFonts w:ascii="Calibri" w:eastAsia="Calibri" w:hAnsi="Calibri" w:cs="David"/>
          <w:color w:val="000000"/>
          <w:sz w:val="24"/>
          <w:szCs w:val="24"/>
          <w:rtl/>
        </w:rPr>
        <w:t xml:space="preserve"> קרקע בבניה עצמית בדרך של מכרז הרשמה והגרלה בהתאם לסעיף 3 להחלטת מועצה מספר 1446, או כל החלטה אחרת שתבוא במקומה, או בהקצאה כאמור שלא בדרך של מכרז לבעל תעודת זכאות של מחוסר דיור על פי הקריטריונים של משרד הבינוי, ישולמו לרשות דמי חכירה מהוונים מופחתים כלהלן:</w:t>
      </w:r>
    </w:p>
    <w:tbl>
      <w:tblPr>
        <w:bidiVisual/>
        <w:tblW w:w="0" w:type="auto"/>
        <w:tblInd w:w="1116" w:type="dxa"/>
        <w:tblCellMar>
          <w:left w:w="0" w:type="dxa"/>
          <w:right w:w="0" w:type="dxa"/>
        </w:tblCellMar>
        <w:tblLook w:val="04A0" w:firstRow="1" w:lastRow="0" w:firstColumn="1" w:lastColumn="0" w:noHBand="0" w:noVBand="1"/>
      </w:tblPr>
      <w:tblGrid>
        <w:gridCol w:w="2250"/>
        <w:gridCol w:w="210"/>
        <w:gridCol w:w="4730"/>
      </w:tblGrid>
      <w:tr w:rsidR="00C74496" w:rsidRPr="00C74496" w:rsidTr="00C74496">
        <w:tc>
          <w:tcPr>
            <w:tcW w:w="2253"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b/>
                <w:bCs/>
                <w:color w:val="000000"/>
                <w:sz w:val="24"/>
                <w:szCs w:val="24"/>
              </w:rPr>
            </w:pPr>
            <w:proofErr w:type="spellStart"/>
            <w:r w:rsidRPr="00C74496">
              <w:rPr>
                <w:rFonts w:ascii="Calibri" w:eastAsia="Calibri" w:hAnsi="Calibri" w:cs="David"/>
                <w:b/>
                <w:bCs/>
                <w:color w:val="000000"/>
                <w:sz w:val="24"/>
                <w:szCs w:val="24"/>
                <w:rtl/>
              </w:rPr>
              <w:t>ישובי</w:t>
            </w:r>
            <w:proofErr w:type="spellEnd"/>
            <w:r w:rsidRPr="00C74496">
              <w:rPr>
                <w:rFonts w:ascii="Calibri" w:eastAsia="Calibri" w:hAnsi="Calibri" w:cs="David"/>
                <w:b/>
                <w:bCs/>
                <w:color w:val="000000"/>
                <w:sz w:val="24"/>
                <w:szCs w:val="24"/>
                <w:rtl/>
              </w:rPr>
              <w:t xml:space="preserve"> קו עימות</w:t>
            </w:r>
          </w:p>
        </w:tc>
        <w:tc>
          <w:tcPr>
            <w:tcW w:w="210"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73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פטור מלא מתשלום דמי חכירה מהוונים לתקופת חכירה מלאה ולחידוש במסגרת יובל חכירה ומדמי חכירה שנתיים (לא כולל היוון יתרת שנות חכירה)</w:t>
            </w:r>
          </w:p>
        </w:tc>
      </w:tr>
      <w:tr w:rsidR="00C74496" w:rsidRPr="00C74496" w:rsidTr="00C74496">
        <w:tc>
          <w:tcPr>
            <w:tcW w:w="2253"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b/>
                <w:bCs/>
                <w:color w:val="000000"/>
                <w:sz w:val="24"/>
                <w:szCs w:val="24"/>
              </w:rPr>
            </w:pPr>
            <w:proofErr w:type="spellStart"/>
            <w:r w:rsidRPr="00C74496">
              <w:rPr>
                <w:rFonts w:ascii="Calibri" w:eastAsia="Calibri" w:hAnsi="Calibri" w:cs="David"/>
                <w:b/>
                <w:bCs/>
                <w:color w:val="000000"/>
                <w:sz w:val="24"/>
                <w:szCs w:val="24"/>
                <w:rtl/>
              </w:rPr>
              <w:t>ישובי</w:t>
            </w:r>
            <w:proofErr w:type="spellEnd"/>
            <w:r w:rsidRPr="00C74496">
              <w:rPr>
                <w:rFonts w:ascii="Calibri" w:eastAsia="Calibri" w:hAnsi="Calibri" w:cs="David"/>
                <w:b/>
                <w:bCs/>
                <w:color w:val="000000"/>
                <w:sz w:val="24"/>
                <w:szCs w:val="24"/>
                <w:rtl/>
              </w:rPr>
              <w:t xml:space="preserve"> עדיפות לאומית א'</w:t>
            </w:r>
          </w:p>
        </w:tc>
        <w:tc>
          <w:tcPr>
            <w:tcW w:w="210"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73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21% מערך הקרקע.</w:t>
            </w:r>
          </w:p>
        </w:tc>
      </w:tr>
      <w:tr w:rsidR="00C74496" w:rsidRPr="00C74496" w:rsidTr="00C74496">
        <w:tc>
          <w:tcPr>
            <w:tcW w:w="2253"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b/>
                <w:bCs/>
                <w:color w:val="000000"/>
                <w:sz w:val="24"/>
                <w:szCs w:val="24"/>
              </w:rPr>
            </w:pPr>
            <w:proofErr w:type="spellStart"/>
            <w:r w:rsidRPr="00C74496">
              <w:rPr>
                <w:rFonts w:ascii="Calibri" w:eastAsia="Calibri" w:hAnsi="Calibri" w:cs="David"/>
                <w:b/>
                <w:bCs/>
                <w:color w:val="000000"/>
                <w:sz w:val="24"/>
                <w:szCs w:val="24"/>
                <w:rtl/>
              </w:rPr>
              <w:t>ישובי</w:t>
            </w:r>
            <w:proofErr w:type="spellEnd"/>
            <w:r w:rsidRPr="00C74496">
              <w:rPr>
                <w:rFonts w:ascii="Calibri" w:eastAsia="Calibri" w:hAnsi="Calibri" w:cs="David"/>
                <w:b/>
                <w:bCs/>
                <w:color w:val="000000"/>
                <w:sz w:val="24"/>
                <w:szCs w:val="24"/>
                <w:rtl/>
              </w:rPr>
              <w:t xml:space="preserve"> עדיפות לאומית ב'</w:t>
            </w:r>
          </w:p>
        </w:tc>
        <w:tc>
          <w:tcPr>
            <w:tcW w:w="210"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737"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41% מערך הקרקע.</w:t>
            </w:r>
          </w:p>
        </w:tc>
      </w:tr>
    </w:tbl>
    <w:p w:rsidR="00C74496" w:rsidRPr="00C74496" w:rsidRDefault="00C74496" w:rsidP="00C74496">
      <w:pPr>
        <w:keepLines/>
        <w:widowControl w:val="0"/>
        <w:tabs>
          <w:tab w:val="left" w:pos="1097"/>
          <w:tab w:val="left" w:pos="1247"/>
        </w:tabs>
        <w:autoSpaceDE w:val="0"/>
        <w:autoSpaceDN w:val="0"/>
        <w:adjustRightInd w:val="0"/>
        <w:snapToGrid w:val="0"/>
        <w:spacing w:after="0" w:line="360" w:lineRule="auto"/>
        <w:ind w:left="1097"/>
        <w:jc w:val="both"/>
        <w:rPr>
          <w:rFonts w:ascii="Calibri" w:eastAsia="Calibri" w:hAnsi="Calibri" w:cs="David"/>
          <w:color w:val="000000"/>
          <w:sz w:val="24"/>
          <w:szCs w:val="24"/>
        </w:rPr>
      </w:pPr>
      <w:r w:rsidRPr="00C74496">
        <w:rPr>
          <w:rFonts w:ascii="Calibri" w:eastAsia="Calibri" w:hAnsi="Calibri" w:cs="David"/>
          <w:color w:val="000000"/>
          <w:sz w:val="24"/>
          <w:szCs w:val="24"/>
          <w:rtl/>
        </w:rPr>
        <w:t>תוקף סעיף זה יהיה עד ליום 31.12.2019.</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 xml:space="preserve">הפחתת דמי החכירה המהוונים תוגבל למחיר תקרה אשר יעמוד על 450,000 ₪, ערך קרקע לא כולל הוצאות פיתוח ולא כולל מע"מ ליחידת דיור. כאשר ערכי הקרקע עולים מעל לסכום זה, על החלק שמעל 450,000 ₪ ישולמו לרשות דמי חכירה מלאים. </w:t>
      </w:r>
      <w:proofErr w:type="spellStart"/>
      <w:r w:rsidRPr="00C74496">
        <w:rPr>
          <w:rFonts w:ascii="Calibri" w:eastAsia="Calibri" w:hAnsi="Calibri" w:cs="David"/>
          <w:color w:val="000000"/>
          <w:sz w:val="24"/>
          <w:szCs w:val="24"/>
          <w:rtl/>
        </w:rPr>
        <w:t>בישובי</w:t>
      </w:r>
      <w:proofErr w:type="spellEnd"/>
      <w:r w:rsidRPr="00C74496">
        <w:rPr>
          <w:rFonts w:ascii="Calibri" w:eastAsia="Calibri" w:hAnsi="Calibri" w:cs="David"/>
          <w:color w:val="000000"/>
          <w:sz w:val="24"/>
          <w:szCs w:val="24"/>
          <w:rtl/>
        </w:rPr>
        <w:t xml:space="preserve"> קו העימות לא יחול מחיר תקרה לפי סעיף זה.</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על אף האמור בסעיף 1.3 לעיל, בישובים הנמנים על אזורי עדיפות א' ו-ב', שאינם ישובים חדשים ושאינם ישובים </w:t>
      </w:r>
      <w:proofErr w:type="spellStart"/>
      <w:r w:rsidRPr="00C74496">
        <w:rPr>
          <w:rFonts w:ascii="Calibri" w:eastAsia="Calibri" w:hAnsi="Calibri" w:cs="David"/>
          <w:color w:val="000000"/>
          <w:sz w:val="24"/>
          <w:szCs w:val="24"/>
          <w:rtl/>
        </w:rPr>
        <w:t>סמוכי</w:t>
      </w:r>
      <w:proofErr w:type="spellEnd"/>
      <w:r w:rsidRPr="00C74496">
        <w:rPr>
          <w:rFonts w:ascii="Calibri" w:eastAsia="Calibri" w:hAnsi="Calibri" w:cs="David"/>
          <w:color w:val="000000"/>
          <w:sz w:val="24"/>
          <w:szCs w:val="24"/>
          <w:rtl/>
        </w:rPr>
        <w:t xml:space="preserve"> גבול, המשתייכים למועצות אזוריות בהן המדד הכלכלי-חברתי על פי קביעת </w:t>
      </w:r>
      <w:proofErr w:type="spellStart"/>
      <w:r w:rsidRPr="00C74496">
        <w:rPr>
          <w:rFonts w:ascii="Calibri" w:eastAsia="Calibri" w:hAnsi="Calibri" w:cs="David"/>
          <w:color w:val="000000"/>
          <w:sz w:val="24"/>
          <w:szCs w:val="24"/>
          <w:rtl/>
        </w:rPr>
        <w:t>הלמ"ס</w:t>
      </w:r>
      <w:proofErr w:type="spellEnd"/>
      <w:r w:rsidRPr="00C74496">
        <w:rPr>
          <w:rFonts w:ascii="Calibri" w:eastAsia="Calibri" w:hAnsi="Calibri" w:cs="David"/>
          <w:color w:val="000000"/>
          <w:sz w:val="24"/>
          <w:szCs w:val="24"/>
          <w:rtl/>
        </w:rPr>
        <w:t xml:space="preserve"> הוא 8-10, תוגבל ההטבה ל- 50,000 ₪ ליחידת דיור (לפני מע"מ).</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Pr>
      </w:pPr>
      <w:r w:rsidRPr="00C74496">
        <w:rPr>
          <w:rFonts w:ascii="Calibri" w:eastAsia="Calibri" w:hAnsi="Calibri" w:cs="David"/>
          <w:color w:val="000000"/>
          <w:sz w:val="24"/>
          <w:szCs w:val="24"/>
          <w:rtl/>
        </w:rPr>
        <w:t>על התשלומים בעת שינוי יעוד וניצול מיעוד ציבורי ליעוד מגורים תחולנה הנחות אזור הנהוגות להקצאת מקרקעין למגורים כאמור בסעיף 1.1.</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Pr>
      </w:pPr>
      <w:r w:rsidRPr="00C74496">
        <w:rPr>
          <w:rFonts w:ascii="Calibri" w:eastAsia="Calibri" w:hAnsi="Calibri" w:cs="David"/>
          <w:color w:val="000000"/>
          <w:sz w:val="24"/>
          <w:szCs w:val="24"/>
          <w:rtl/>
        </w:rPr>
        <w:t>בהקצאת קרקע למבני קיט (צימרים), שאינם עונים על הגדרות משרד התיירות למלונית, מלון או אטרקציה, תחולנה הנחות אזור הנהוגות להקצאת מקרקעין למגורים כאמור בסעיף 1.1.</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Pr>
      </w:pPr>
      <w:r w:rsidRPr="00C74496">
        <w:rPr>
          <w:rFonts w:ascii="Calibri" w:eastAsia="Calibri" w:hAnsi="Calibri" w:cs="David"/>
          <w:color w:val="000000"/>
          <w:sz w:val="24"/>
          <w:szCs w:val="24"/>
          <w:rtl/>
        </w:rPr>
        <w:t>סיווג הישובים למתן ההנחות, כמפורט בסעיף זה, ייעשה על פי החלטת הממשלה מספר 1527 מיום 19.6.16 (להלן: "החלטה "</w:t>
      </w:r>
      <w:r w:rsidRPr="00C74496">
        <w:rPr>
          <w:rFonts w:ascii="Calibri" w:eastAsia="Calibri" w:hAnsi="Calibri" w:cs="David"/>
          <w:b/>
          <w:bCs/>
          <w:color w:val="000000"/>
          <w:sz w:val="24"/>
          <w:szCs w:val="24"/>
          <w:rtl/>
        </w:rPr>
        <w:t>1527</w:t>
      </w:r>
      <w:r w:rsidRPr="00C74496">
        <w:rPr>
          <w:rFonts w:ascii="Calibri" w:eastAsia="Calibri" w:hAnsi="Calibri" w:cs="David"/>
          <w:color w:val="000000"/>
          <w:sz w:val="24"/>
          <w:szCs w:val="24"/>
          <w:rtl/>
        </w:rPr>
        <w:t xml:space="preserve">"), בעניין "קביעת אזורי עדיפות לאומית לעניין מתן ההטבות בתחום הבינוי והשיכון" בשינויים הבאים: </w:t>
      </w:r>
    </w:p>
    <w:p w:rsidR="00C74496" w:rsidRPr="00C74496" w:rsidRDefault="00C74496" w:rsidP="00C74496">
      <w:pPr>
        <w:keepLines/>
        <w:widowControl w:val="0"/>
        <w:numPr>
          <w:ilvl w:val="2"/>
          <w:numId w:val="2"/>
        </w:numPr>
        <w:tabs>
          <w:tab w:val="left" w:pos="720"/>
          <w:tab w:val="left" w:pos="1247"/>
        </w:tabs>
        <w:autoSpaceDE w:val="0"/>
        <w:autoSpaceDN w:val="0"/>
        <w:adjustRightInd w:val="0"/>
        <w:snapToGrid w:val="0"/>
        <w:spacing w:after="0" w:line="360" w:lineRule="auto"/>
        <w:ind w:left="1783" w:hanging="686"/>
        <w:jc w:val="both"/>
        <w:rPr>
          <w:rFonts w:ascii="Calibri" w:eastAsia="Calibri" w:hAnsi="Calibri" w:cs="David"/>
          <w:b/>
          <w:bCs/>
          <w:color w:val="000000"/>
          <w:sz w:val="24"/>
          <w:szCs w:val="24"/>
        </w:rPr>
      </w:pPr>
      <w:r w:rsidRPr="00C74496">
        <w:rPr>
          <w:rFonts w:ascii="Calibri" w:eastAsia="Calibri" w:hAnsi="Calibri" w:cs="David"/>
          <w:b/>
          <w:bCs/>
          <w:color w:val="000000"/>
          <w:sz w:val="24"/>
          <w:szCs w:val="24"/>
          <w:rtl/>
        </w:rPr>
        <w:t>ישובים עירוניים:</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קבוצה א1 על פי החלטה 1527 תסווג </w:t>
      </w:r>
      <w:proofErr w:type="spellStart"/>
      <w:r w:rsidRPr="00C74496">
        <w:rPr>
          <w:rFonts w:ascii="Calibri" w:eastAsia="Calibri" w:hAnsi="Calibri" w:cs="David"/>
          <w:color w:val="000000"/>
          <w:sz w:val="24"/>
          <w:szCs w:val="24"/>
          <w:rtl/>
        </w:rPr>
        <w:t>כאיזור</w:t>
      </w:r>
      <w:proofErr w:type="spellEnd"/>
      <w:r w:rsidRPr="00C74496">
        <w:rPr>
          <w:rFonts w:ascii="Calibri" w:eastAsia="Calibri" w:hAnsi="Calibri" w:cs="David"/>
          <w:color w:val="000000"/>
          <w:sz w:val="24"/>
          <w:szCs w:val="24"/>
          <w:rtl/>
        </w:rPr>
        <w:t xml:space="preserve"> עדיפות לאומית א' למתן הנחות על פי החלטה זו.</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קבוצה א2 על פי החלטה 1527 תסווג </w:t>
      </w:r>
      <w:proofErr w:type="spellStart"/>
      <w:r w:rsidRPr="00C74496">
        <w:rPr>
          <w:rFonts w:ascii="Calibri" w:eastAsia="Calibri" w:hAnsi="Calibri" w:cs="David"/>
          <w:color w:val="000000"/>
          <w:sz w:val="24"/>
          <w:szCs w:val="24"/>
          <w:rtl/>
        </w:rPr>
        <w:t>כאיזור</w:t>
      </w:r>
      <w:proofErr w:type="spellEnd"/>
      <w:r w:rsidRPr="00C74496">
        <w:rPr>
          <w:rFonts w:ascii="Calibri" w:eastAsia="Calibri" w:hAnsi="Calibri" w:cs="David"/>
          <w:color w:val="000000"/>
          <w:sz w:val="24"/>
          <w:szCs w:val="24"/>
          <w:rtl/>
        </w:rPr>
        <w:t xml:space="preserve"> עדיפות לאומית ב' למתן הנחות על פי החלטה זו.</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Pr>
      </w:pPr>
      <w:r w:rsidRPr="00C74496">
        <w:rPr>
          <w:rFonts w:ascii="Calibri" w:eastAsia="Calibri" w:hAnsi="Calibri" w:cs="David"/>
          <w:color w:val="000000"/>
          <w:sz w:val="24"/>
          <w:szCs w:val="24"/>
          <w:rtl/>
        </w:rPr>
        <w:lastRenderedPageBreak/>
        <w:t xml:space="preserve">יבוטל מבחן ערכי הקרקע כמפורט בסעיף 3 "ישובים עירוניים" ב' להחלטה 1527, והישובים שיתווספו לרשימת הישובים למתן הנחות על פי החלטה זו יסווגו </w:t>
      </w:r>
      <w:proofErr w:type="spellStart"/>
      <w:r w:rsidRPr="00C74496">
        <w:rPr>
          <w:rFonts w:ascii="Calibri" w:eastAsia="Calibri" w:hAnsi="Calibri" w:cs="David"/>
          <w:color w:val="000000"/>
          <w:sz w:val="24"/>
          <w:szCs w:val="24"/>
          <w:rtl/>
        </w:rPr>
        <w:t>באיזור</w:t>
      </w:r>
      <w:proofErr w:type="spellEnd"/>
      <w:r w:rsidRPr="00C74496">
        <w:rPr>
          <w:rFonts w:ascii="Calibri" w:eastAsia="Calibri" w:hAnsi="Calibri" w:cs="David"/>
          <w:color w:val="000000"/>
          <w:sz w:val="24"/>
          <w:szCs w:val="24"/>
          <w:rtl/>
        </w:rPr>
        <w:t xml:space="preserve"> עדיפות לאומית ב' ואם הם ישובים </w:t>
      </w:r>
      <w:proofErr w:type="spellStart"/>
      <w:r w:rsidRPr="00C74496">
        <w:rPr>
          <w:rFonts w:ascii="Calibri" w:eastAsia="Calibri" w:hAnsi="Calibri" w:cs="David"/>
          <w:color w:val="000000"/>
          <w:sz w:val="24"/>
          <w:szCs w:val="24"/>
          <w:rtl/>
        </w:rPr>
        <w:t>סמוכי</w:t>
      </w:r>
      <w:proofErr w:type="spellEnd"/>
      <w:r w:rsidRPr="00C74496">
        <w:rPr>
          <w:rFonts w:ascii="Calibri" w:eastAsia="Calibri" w:hAnsi="Calibri" w:cs="David"/>
          <w:color w:val="000000"/>
          <w:sz w:val="24"/>
          <w:szCs w:val="24"/>
          <w:rtl/>
        </w:rPr>
        <w:t xml:space="preserve"> גבול יסווגו </w:t>
      </w:r>
      <w:proofErr w:type="spellStart"/>
      <w:r w:rsidRPr="00C74496">
        <w:rPr>
          <w:rFonts w:ascii="Calibri" w:eastAsia="Calibri" w:hAnsi="Calibri" w:cs="David"/>
          <w:color w:val="000000"/>
          <w:sz w:val="24"/>
          <w:szCs w:val="24"/>
          <w:rtl/>
        </w:rPr>
        <w:t>באיזור</w:t>
      </w:r>
      <w:proofErr w:type="spellEnd"/>
      <w:r w:rsidRPr="00C74496">
        <w:rPr>
          <w:rFonts w:ascii="Calibri" w:eastAsia="Calibri" w:hAnsi="Calibri" w:cs="David"/>
          <w:color w:val="000000"/>
          <w:sz w:val="24"/>
          <w:szCs w:val="24"/>
          <w:rtl/>
        </w:rPr>
        <w:t xml:space="preserve"> עדיפות לאומית א'.</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ישובים אשר על פי המדידות שאימצה הממשלה בהחלטה מספר 667 מיום 4.8.13 בעניין "הגדרת ישובים ואזורים כבעלי עדיפות לאומית" וישובים בשטח רמת הגולן אשר עומדים בהגדרת קו עימות, יהיו זכאים להנחות הניתנות בקו עימות לפי החלטה זו. </w:t>
      </w:r>
    </w:p>
    <w:p w:rsidR="00C74496" w:rsidRPr="00C74496" w:rsidRDefault="00C74496" w:rsidP="00C74496">
      <w:pPr>
        <w:keepLines/>
        <w:widowControl w:val="0"/>
        <w:numPr>
          <w:ilvl w:val="2"/>
          <w:numId w:val="2"/>
        </w:numPr>
        <w:tabs>
          <w:tab w:val="left" w:pos="720"/>
          <w:tab w:val="left" w:pos="1247"/>
        </w:tabs>
        <w:autoSpaceDE w:val="0"/>
        <w:autoSpaceDN w:val="0"/>
        <w:adjustRightInd w:val="0"/>
        <w:snapToGrid w:val="0"/>
        <w:spacing w:after="0" w:line="360" w:lineRule="auto"/>
        <w:ind w:left="1783" w:hanging="686"/>
        <w:jc w:val="both"/>
        <w:rPr>
          <w:rFonts w:ascii="Calibri" w:eastAsia="Calibri" w:hAnsi="Calibri" w:cs="David"/>
          <w:b/>
          <w:bCs/>
          <w:color w:val="000000"/>
          <w:sz w:val="24"/>
          <w:szCs w:val="24"/>
          <w:rtl/>
        </w:rPr>
      </w:pPr>
      <w:r w:rsidRPr="00C74496">
        <w:rPr>
          <w:rFonts w:ascii="Calibri" w:eastAsia="Calibri" w:hAnsi="Calibri" w:cs="David"/>
          <w:b/>
          <w:bCs/>
          <w:color w:val="000000"/>
          <w:sz w:val="24"/>
          <w:szCs w:val="24"/>
          <w:rtl/>
        </w:rPr>
        <w:t>יישובים כפריים:</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tl/>
        </w:rPr>
      </w:pPr>
      <w:r w:rsidRPr="00C74496">
        <w:rPr>
          <w:rFonts w:ascii="Calibri" w:eastAsia="Calibri" w:hAnsi="Calibri" w:cs="David"/>
          <w:color w:val="000000"/>
          <w:sz w:val="24"/>
          <w:szCs w:val="24"/>
          <w:rtl/>
        </w:rPr>
        <w:t xml:space="preserve">קבוצה א1 ו-א2 על פי החלטה 1527 יסווגו </w:t>
      </w:r>
      <w:proofErr w:type="spellStart"/>
      <w:r w:rsidRPr="00C74496">
        <w:rPr>
          <w:rFonts w:ascii="Calibri" w:eastAsia="Calibri" w:hAnsi="Calibri" w:cs="David"/>
          <w:color w:val="000000"/>
          <w:sz w:val="24"/>
          <w:szCs w:val="24"/>
          <w:rtl/>
        </w:rPr>
        <w:t>כאיזור</w:t>
      </w:r>
      <w:proofErr w:type="spellEnd"/>
      <w:r w:rsidRPr="00C74496">
        <w:rPr>
          <w:rFonts w:ascii="Calibri" w:eastAsia="Calibri" w:hAnsi="Calibri" w:cs="David"/>
          <w:color w:val="000000"/>
          <w:sz w:val="24"/>
          <w:szCs w:val="24"/>
          <w:rtl/>
        </w:rPr>
        <w:t xml:space="preserve"> עדיפות לאומית א' למתן הנחות על פי החלטה זו.</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קבוצה ב' על פי החלטה 1527 תסווג </w:t>
      </w:r>
      <w:proofErr w:type="spellStart"/>
      <w:r w:rsidRPr="00C74496">
        <w:rPr>
          <w:rFonts w:ascii="Calibri" w:eastAsia="Calibri" w:hAnsi="Calibri" w:cs="David"/>
          <w:color w:val="000000"/>
          <w:sz w:val="24"/>
          <w:szCs w:val="24"/>
          <w:rtl/>
        </w:rPr>
        <w:t>כאיזור</w:t>
      </w:r>
      <w:proofErr w:type="spellEnd"/>
      <w:r w:rsidRPr="00C74496">
        <w:rPr>
          <w:rFonts w:ascii="Calibri" w:eastAsia="Calibri" w:hAnsi="Calibri" w:cs="David"/>
          <w:color w:val="000000"/>
          <w:sz w:val="24"/>
          <w:szCs w:val="24"/>
          <w:rtl/>
        </w:rPr>
        <w:t xml:space="preserve"> עדיפות לאומית ב' למתן הנחות על פי החלטה זו.</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יבוטל מבחן ערכי הקרקע כמפורט בסעיף 3 "ישובים עירוניים" ב' להחלטה 1527, והישובים שיתווספו לרשימת הישובים למתן הנחות על פי החלטה זו יסווגו </w:t>
      </w:r>
      <w:proofErr w:type="spellStart"/>
      <w:r w:rsidRPr="00C74496">
        <w:rPr>
          <w:rFonts w:ascii="Calibri" w:eastAsia="Calibri" w:hAnsi="Calibri" w:cs="David"/>
          <w:color w:val="000000"/>
          <w:sz w:val="24"/>
          <w:szCs w:val="24"/>
          <w:rtl/>
        </w:rPr>
        <w:t>באיזור</w:t>
      </w:r>
      <w:proofErr w:type="spellEnd"/>
      <w:r w:rsidRPr="00C74496">
        <w:rPr>
          <w:rFonts w:ascii="Calibri" w:eastAsia="Calibri" w:hAnsi="Calibri" w:cs="David"/>
          <w:color w:val="000000"/>
          <w:sz w:val="24"/>
          <w:szCs w:val="24"/>
          <w:rtl/>
        </w:rPr>
        <w:t xml:space="preserve"> עדיפות לאומית ב' ואם הם ישובים </w:t>
      </w:r>
      <w:proofErr w:type="spellStart"/>
      <w:r w:rsidRPr="00C74496">
        <w:rPr>
          <w:rFonts w:ascii="Calibri" w:eastAsia="Calibri" w:hAnsi="Calibri" w:cs="David"/>
          <w:color w:val="000000"/>
          <w:sz w:val="24"/>
          <w:szCs w:val="24"/>
          <w:rtl/>
        </w:rPr>
        <w:t>סמוכי</w:t>
      </w:r>
      <w:proofErr w:type="spellEnd"/>
      <w:r w:rsidRPr="00C74496">
        <w:rPr>
          <w:rFonts w:ascii="Calibri" w:eastAsia="Calibri" w:hAnsi="Calibri" w:cs="David"/>
          <w:color w:val="000000"/>
          <w:sz w:val="24"/>
          <w:szCs w:val="24"/>
          <w:rtl/>
        </w:rPr>
        <w:t xml:space="preserve"> גבול יסווגו </w:t>
      </w:r>
      <w:proofErr w:type="spellStart"/>
      <w:r w:rsidRPr="00C74496">
        <w:rPr>
          <w:rFonts w:ascii="Calibri" w:eastAsia="Calibri" w:hAnsi="Calibri" w:cs="David"/>
          <w:color w:val="000000"/>
          <w:sz w:val="24"/>
          <w:szCs w:val="24"/>
          <w:rtl/>
        </w:rPr>
        <w:t>באיזור</w:t>
      </w:r>
      <w:proofErr w:type="spellEnd"/>
      <w:r w:rsidRPr="00C74496">
        <w:rPr>
          <w:rFonts w:ascii="Calibri" w:eastAsia="Calibri" w:hAnsi="Calibri" w:cs="David"/>
          <w:color w:val="000000"/>
          <w:sz w:val="24"/>
          <w:szCs w:val="24"/>
          <w:rtl/>
        </w:rPr>
        <w:t xml:space="preserve"> עדיפות לאומית א'.</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ישובים אשר על פי המדידות שאימצה הממשלה בהחלטה מספר 667 מיום 4.8.13 בעניין "הגדרת ישובים ואזורים כבעלי עדיפות לאומית" וישובים בשטח רמת הגולן אשר עומדים בהגדרת קו עימות, יהיו זכאים להנחות הניתנות בקו עימות לפי החלטה זו. </w:t>
      </w:r>
    </w:p>
    <w:p w:rsidR="00C74496" w:rsidRPr="00C74496" w:rsidRDefault="00C74496" w:rsidP="00C74496">
      <w:pPr>
        <w:keepLines/>
        <w:widowControl w:val="0"/>
        <w:numPr>
          <w:ilvl w:val="3"/>
          <w:numId w:val="2"/>
        </w:numPr>
        <w:tabs>
          <w:tab w:val="left" w:pos="2706"/>
        </w:tabs>
        <w:autoSpaceDE w:val="0"/>
        <w:autoSpaceDN w:val="0"/>
        <w:adjustRightInd w:val="0"/>
        <w:snapToGrid w:val="0"/>
        <w:spacing w:after="0" w:line="360" w:lineRule="auto"/>
        <w:ind w:left="2706" w:hanging="943"/>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שכונות במועצות מקומיות במרחבים צפון ודרום, בעלות תכנית בתוקף, שאינן צמודות דופן לנקודת היישוב הקיימת, והמרוחקות ממרכז הישוב הקיים באופן שתושביו אינם יכולים </w:t>
      </w:r>
      <w:proofErr w:type="spellStart"/>
      <w:r w:rsidRPr="00C74496">
        <w:rPr>
          <w:rFonts w:ascii="Calibri" w:eastAsia="Calibri" w:hAnsi="Calibri" w:cs="David"/>
          <w:color w:val="000000"/>
          <w:sz w:val="24"/>
          <w:szCs w:val="24"/>
          <w:rtl/>
        </w:rPr>
        <w:t>להנות</w:t>
      </w:r>
      <w:proofErr w:type="spellEnd"/>
      <w:r w:rsidRPr="00C74496">
        <w:rPr>
          <w:rFonts w:ascii="Calibri" w:eastAsia="Calibri" w:hAnsi="Calibri" w:cs="David"/>
          <w:color w:val="000000"/>
          <w:sz w:val="24"/>
          <w:szCs w:val="24"/>
          <w:rtl/>
        </w:rPr>
        <w:t xml:space="preserve"> מן השירותים הניתנים על ידי המועצה המקומית וממוסדות הציבור שלה, אשר הוקמה לגביהם ועדה לחקירת גבולות מתוך כוונה לבדוק את הפיכתן לישובים עצמאיים במועצה אזורית, יוכרו לצורך החלטה זו כישובים חדשים ויסווגו </w:t>
      </w:r>
      <w:proofErr w:type="spellStart"/>
      <w:r w:rsidRPr="00C74496">
        <w:rPr>
          <w:rFonts w:ascii="Calibri" w:eastAsia="Calibri" w:hAnsi="Calibri" w:cs="David"/>
          <w:color w:val="000000"/>
          <w:sz w:val="24"/>
          <w:szCs w:val="24"/>
          <w:rtl/>
        </w:rPr>
        <w:t>באיזור</w:t>
      </w:r>
      <w:proofErr w:type="spellEnd"/>
      <w:r w:rsidRPr="00C74496">
        <w:rPr>
          <w:rFonts w:ascii="Calibri" w:eastAsia="Calibri" w:hAnsi="Calibri" w:cs="David"/>
          <w:color w:val="000000"/>
          <w:sz w:val="24"/>
          <w:szCs w:val="24"/>
          <w:rtl/>
        </w:rPr>
        <w:t xml:space="preserve"> עדיפות א'.</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סיווג היישובים לפי סעיף זה מצורף להחלטה זו כנספח א'.</w:t>
      </w:r>
    </w:p>
    <w:p w:rsidR="00C74496" w:rsidRPr="00C74496" w:rsidRDefault="00C74496" w:rsidP="00C74496">
      <w:pPr>
        <w:spacing w:after="60" w:line="360" w:lineRule="auto"/>
        <w:jc w:val="both"/>
        <w:rPr>
          <w:rFonts w:ascii="David" w:eastAsia="Calibri" w:hAnsi="David" w:cs="David"/>
          <w:color w:val="000000"/>
          <w:sz w:val="24"/>
          <w:szCs w:val="24"/>
        </w:rPr>
      </w:pPr>
    </w:p>
    <w:p w:rsidR="00C74496" w:rsidRPr="00C74496" w:rsidRDefault="00C74496" w:rsidP="00C74496">
      <w:pPr>
        <w:numPr>
          <w:ilvl w:val="0"/>
          <w:numId w:val="2"/>
        </w:numPr>
        <w:tabs>
          <w:tab w:val="left" w:pos="523"/>
        </w:tabs>
        <w:spacing w:after="0" w:line="360" w:lineRule="auto"/>
        <w:ind w:left="509" w:hanging="367"/>
        <w:jc w:val="both"/>
        <w:rPr>
          <w:rFonts w:ascii="David" w:eastAsia="Calibri" w:hAnsi="David" w:cs="David"/>
          <w:b/>
          <w:bCs/>
          <w:color w:val="000000"/>
          <w:sz w:val="24"/>
          <w:szCs w:val="24"/>
          <w:u w:val="single"/>
          <w:rtl/>
        </w:rPr>
      </w:pPr>
      <w:r w:rsidRPr="00C74496">
        <w:rPr>
          <w:rFonts w:ascii="David" w:eastAsia="Calibri" w:hAnsi="David" w:cs="David"/>
          <w:b/>
          <w:bCs/>
          <w:color w:val="000000"/>
          <w:sz w:val="24"/>
          <w:szCs w:val="24"/>
          <w:u w:val="single"/>
          <w:rtl/>
        </w:rPr>
        <w:t>הקצאת מקרקעין לתעשייה ומלאכה</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 xml:space="preserve">בהקצאת מקרקעין לתעשייה ומלאכה, למעט הקצאות מקרקעין לתעשייה ומלאכה כמפורט בסעיף 2.2 להלן, ישולמו לרשות דמי חכירה מופחתים בהתאם למפת אזורי עדיפות בתעשייה עפ"י החוק לעידוד השקעות הון, </w:t>
      </w:r>
      <w:proofErr w:type="spellStart"/>
      <w:r w:rsidRPr="00C74496">
        <w:rPr>
          <w:rFonts w:ascii="Calibri" w:eastAsia="Calibri" w:hAnsi="Calibri" w:cs="David"/>
          <w:color w:val="000000"/>
          <w:sz w:val="24"/>
          <w:szCs w:val="24"/>
          <w:rtl/>
        </w:rPr>
        <w:t>התשי"ט</w:t>
      </w:r>
      <w:proofErr w:type="spellEnd"/>
      <w:r w:rsidRPr="00C74496">
        <w:rPr>
          <w:rFonts w:ascii="Calibri" w:eastAsia="Calibri" w:hAnsi="Calibri" w:cs="David"/>
          <w:color w:val="000000"/>
          <w:sz w:val="24"/>
          <w:szCs w:val="24"/>
          <w:rtl/>
        </w:rPr>
        <w:t xml:space="preserve"> – 1959 כפי שתעודכן מעת לעת, כלהלן:</w:t>
      </w:r>
    </w:p>
    <w:tbl>
      <w:tblPr>
        <w:bidiVisual/>
        <w:tblW w:w="0" w:type="auto"/>
        <w:tblInd w:w="1325" w:type="dxa"/>
        <w:tblCellMar>
          <w:left w:w="0" w:type="dxa"/>
          <w:right w:w="57" w:type="dxa"/>
        </w:tblCellMar>
        <w:tblLook w:val="04A0" w:firstRow="1" w:lastRow="0" w:firstColumn="1" w:lastColumn="0" w:noHBand="0" w:noVBand="1"/>
      </w:tblPr>
      <w:tblGrid>
        <w:gridCol w:w="2483"/>
        <w:gridCol w:w="353"/>
        <w:gridCol w:w="4202"/>
      </w:tblGrid>
      <w:tr w:rsidR="00C74496" w:rsidRPr="00C74496" w:rsidTr="00C74496">
        <w:tc>
          <w:tcPr>
            <w:tcW w:w="250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b/>
                <w:bCs/>
                <w:color w:val="000000"/>
                <w:sz w:val="24"/>
                <w:szCs w:val="24"/>
              </w:rPr>
            </w:pPr>
            <w:proofErr w:type="spellStart"/>
            <w:r w:rsidRPr="00C74496">
              <w:rPr>
                <w:rFonts w:ascii="Calibri" w:eastAsia="Calibri" w:hAnsi="Calibri" w:cs="David"/>
                <w:b/>
                <w:bCs/>
                <w:color w:val="000000"/>
                <w:sz w:val="24"/>
                <w:szCs w:val="24"/>
                <w:rtl/>
              </w:rPr>
              <w:t>ישובי</w:t>
            </w:r>
            <w:proofErr w:type="spellEnd"/>
            <w:r w:rsidRPr="00C74496">
              <w:rPr>
                <w:rFonts w:ascii="Calibri" w:eastAsia="Calibri" w:hAnsi="Calibri" w:cs="David"/>
                <w:b/>
                <w:bCs/>
                <w:color w:val="000000"/>
                <w:sz w:val="24"/>
                <w:szCs w:val="24"/>
                <w:rtl/>
              </w:rPr>
              <w:t xml:space="preserve"> קו עימות</w:t>
            </w:r>
          </w:p>
        </w:tc>
        <w:tc>
          <w:tcPr>
            <w:tcW w:w="355"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238"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 xml:space="preserve">פטור מלא מתשלום דמי חכירה מהוונים לתקופת חכירה מלאה ולחידוש במסגרת יובל </w:t>
            </w:r>
            <w:r w:rsidRPr="00C74496">
              <w:rPr>
                <w:rFonts w:ascii="Calibri" w:eastAsia="Calibri" w:hAnsi="Calibri" w:cs="David"/>
                <w:color w:val="000000"/>
                <w:sz w:val="24"/>
                <w:szCs w:val="24"/>
                <w:rtl/>
              </w:rPr>
              <w:lastRenderedPageBreak/>
              <w:t>חכירה ומדמי חכירה שנתיים (לא כולל היוון יתרת שנות חכירה)</w:t>
            </w:r>
          </w:p>
        </w:tc>
      </w:tr>
      <w:tr w:rsidR="00C74496" w:rsidRPr="00C74496" w:rsidTr="00C74496">
        <w:tc>
          <w:tcPr>
            <w:tcW w:w="250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b/>
                <w:bCs/>
                <w:color w:val="000000"/>
                <w:sz w:val="24"/>
                <w:szCs w:val="24"/>
              </w:rPr>
            </w:pPr>
            <w:proofErr w:type="spellStart"/>
            <w:r w:rsidRPr="00C74496">
              <w:rPr>
                <w:rFonts w:ascii="Calibri" w:eastAsia="Calibri" w:hAnsi="Calibri" w:cs="David"/>
                <w:b/>
                <w:bCs/>
                <w:color w:val="000000"/>
                <w:sz w:val="24"/>
                <w:szCs w:val="24"/>
                <w:rtl/>
              </w:rPr>
              <w:lastRenderedPageBreak/>
              <w:t>איזור</w:t>
            </w:r>
            <w:proofErr w:type="spellEnd"/>
            <w:r w:rsidRPr="00C74496">
              <w:rPr>
                <w:rFonts w:ascii="Calibri" w:eastAsia="Calibri" w:hAnsi="Calibri" w:cs="David"/>
                <w:b/>
                <w:bCs/>
                <w:color w:val="000000"/>
                <w:sz w:val="24"/>
                <w:szCs w:val="24"/>
                <w:rtl/>
              </w:rPr>
              <w:t xml:space="preserve"> עדיפות לאומית א' לפי חוק עידוד השקעות הון</w:t>
            </w:r>
          </w:p>
        </w:tc>
        <w:tc>
          <w:tcPr>
            <w:tcW w:w="355"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238"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31% מערך הקרקע להקמת מפעל ולהרחבת מפעל.</w:t>
            </w:r>
          </w:p>
        </w:tc>
      </w:tr>
      <w:tr w:rsidR="00C74496" w:rsidRPr="00C74496" w:rsidTr="00C74496">
        <w:tc>
          <w:tcPr>
            <w:tcW w:w="250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b/>
                <w:bCs/>
                <w:color w:val="000000"/>
                <w:sz w:val="24"/>
                <w:szCs w:val="24"/>
              </w:rPr>
            </w:pPr>
            <w:proofErr w:type="spellStart"/>
            <w:r w:rsidRPr="00C74496">
              <w:rPr>
                <w:rFonts w:ascii="Calibri" w:eastAsia="Calibri" w:hAnsi="Calibri" w:cs="David"/>
                <w:b/>
                <w:bCs/>
                <w:color w:val="000000"/>
                <w:sz w:val="24"/>
                <w:szCs w:val="24"/>
                <w:rtl/>
              </w:rPr>
              <w:t>איזור</w:t>
            </w:r>
            <w:proofErr w:type="spellEnd"/>
            <w:r w:rsidRPr="00C74496">
              <w:rPr>
                <w:rFonts w:ascii="Calibri" w:eastAsia="Calibri" w:hAnsi="Calibri" w:cs="David"/>
                <w:b/>
                <w:bCs/>
                <w:color w:val="000000"/>
                <w:sz w:val="24"/>
                <w:szCs w:val="24"/>
                <w:rtl/>
              </w:rPr>
              <w:t xml:space="preserve"> עדיפות לאומית ב' לפי חוק עידוד השקעות הון</w:t>
            </w:r>
          </w:p>
        </w:tc>
        <w:tc>
          <w:tcPr>
            <w:tcW w:w="355"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238"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51% מערך הקרקע בעת הרחבת מפעל קיים, תשלום דמי חכירה מהוונים מלאים בעת הקמת מפעל.</w:t>
            </w:r>
          </w:p>
        </w:tc>
      </w:tr>
    </w:tbl>
    <w:p w:rsidR="00C74496" w:rsidRPr="00C74496" w:rsidRDefault="00C74496" w:rsidP="00C74496">
      <w:pPr>
        <w:keepLines/>
        <w:widowControl w:val="0"/>
        <w:tabs>
          <w:tab w:val="left" w:pos="793"/>
          <w:tab w:val="left" w:pos="820"/>
          <w:tab w:val="left" w:pos="1247"/>
        </w:tabs>
        <w:autoSpaceDE w:val="0"/>
        <w:autoSpaceDN w:val="0"/>
        <w:adjustRightInd w:val="0"/>
        <w:snapToGrid w:val="0"/>
        <w:spacing w:after="0" w:line="360" w:lineRule="auto"/>
        <w:ind w:left="785"/>
        <w:jc w:val="both"/>
        <w:rPr>
          <w:rFonts w:ascii="Calibri" w:eastAsia="Calibri" w:hAnsi="Calibri" w:cs="David"/>
          <w:color w:val="000000"/>
          <w:sz w:val="24"/>
          <w:szCs w:val="24"/>
        </w:rPr>
      </w:pP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בהקצאת מקרקעין לתעשייה ומלאכה בהתאם להחלטת מועצה מספר 1455, או כל החלטה אחרת שתבוא במקומה, ישולמו דמי חכירה מופחתים בהתאם לסעיף 1.1 לעיל.</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Pr>
      </w:pPr>
      <w:r w:rsidRPr="00C74496">
        <w:rPr>
          <w:rFonts w:ascii="Calibri" w:eastAsia="Calibri" w:hAnsi="Calibri" w:cs="David"/>
          <w:color w:val="000000"/>
          <w:sz w:val="24"/>
          <w:szCs w:val="24"/>
          <w:rtl/>
        </w:rPr>
        <w:t>הפחתת דמי החכירה המהוונים תוגבל למחיר תקרה אשר יעמוד על 400 ₪ למ"ר קרקע לא כולל הוצאות פיתוח ולא כולל מע"מ. כאשר ערכי הקרקע עולים מעל לסכום זה, על ערך הקרקע למ"ר שמעל 400 ₪ לא יחולו ההנחות.</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Pr>
      </w:pPr>
      <w:r w:rsidRPr="00C74496">
        <w:rPr>
          <w:rFonts w:ascii="Calibri" w:eastAsia="Calibri" w:hAnsi="Calibri" w:cs="David"/>
          <w:color w:val="000000"/>
          <w:sz w:val="24"/>
          <w:szCs w:val="24"/>
          <w:rtl/>
        </w:rPr>
        <w:t>על אף האמור לעיל בסעיף 2.2, הפחתת דמי החכירה המהוונים בירושלים תוגבל למחיר תקרה של 2,500 ₪ למ"ר קרקע לא כולל הוצאות פיתוח ולא כולל מע"מ. כאשר ערכי הקרקע עולים מעל לסכום זה, על ערך הקרקע שמעל 2,500 ₪ למ"ר לא יחולו ההנחות.</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 xml:space="preserve">אזורי תעשייה ומלאכה אשר עמדו בתנאי הוראת המעבר 6ב בהחלטת מועצת מקרקעי ישראל מספר 1273 (אזורי תעשייה ומלאכה שבמועד קבלת החלטה 1273 היו בעלי תכנית בתוקף אשר שילבה חלקים מאזור תעשייה בקו עימות וחלקים </w:t>
      </w:r>
      <w:proofErr w:type="spellStart"/>
      <w:r w:rsidRPr="00C74496">
        <w:rPr>
          <w:rFonts w:ascii="Calibri" w:eastAsia="Calibri" w:hAnsi="Calibri" w:cs="David"/>
          <w:color w:val="000000"/>
          <w:sz w:val="24"/>
          <w:szCs w:val="24"/>
          <w:rtl/>
        </w:rPr>
        <w:t>באיזורי</w:t>
      </w:r>
      <w:proofErr w:type="spellEnd"/>
      <w:r w:rsidRPr="00C74496">
        <w:rPr>
          <w:rFonts w:ascii="Calibri" w:eastAsia="Calibri" w:hAnsi="Calibri" w:cs="David"/>
          <w:color w:val="000000"/>
          <w:sz w:val="24"/>
          <w:szCs w:val="24"/>
          <w:rtl/>
        </w:rPr>
        <w:t xml:space="preserve"> עדיפות אחרים (מינימום 20% באזור קו עימות) - תחושב ההנחה כנהוג בקו עימות לכל המתחם המאושר באותה התכנית.</w:t>
      </w:r>
    </w:p>
    <w:p w:rsidR="00C74496" w:rsidRPr="00C74496" w:rsidRDefault="00C74496" w:rsidP="00C74496">
      <w:pPr>
        <w:keepLines/>
        <w:widowControl w:val="0"/>
        <w:tabs>
          <w:tab w:val="left" w:pos="793"/>
          <w:tab w:val="left" w:pos="1247"/>
        </w:tabs>
        <w:autoSpaceDE w:val="0"/>
        <w:autoSpaceDN w:val="0"/>
        <w:adjustRightInd w:val="0"/>
        <w:snapToGrid w:val="0"/>
        <w:spacing w:after="0" w:line="360" w:lineRule="auto"/>
        <w:ind w:left="785"/>
        <w:jc w:val="both"/>
        <w:rPr>
          <w:rFonts w:ascii="Calibri" w:eastAsia="Calibri" w:hAnsi="Calibri" w:cs="David"/>
          <w:color w:val="000000"/>
          <w:sz w:val="24"/>
          <w:szCs w:val="24"/>
        </w:rPr>
      </w:pPr>
    </w:p>
    <w:p w:rsidR="00C74496" w:rsidRPr="00C74496" w:rsidRDefault="00C74496" w:rsidP="00C74496">
      <w:pPr>
        <w:numPr>
          <w:ilvl w:val="0"/>
          <w:numId w:val="2"/>
        </w:numPr>
        <w:tabs>
          <w:tab w:val="left" w:pos="523"/>
        </w:tabs>
        <w:spacing w:after="0" w:line="360" w:lineRule="auto"/>
        <w:ind w:left="509" w:hanging="367"/>
        <w:jc w:val="both"/>
        <w:rPr>
          <w:rFonts w:ascii="David" w:eastAsia="Calibri" w:hAnsi="David" w:cs="David"/>
          <w:b/>
          <w:bCs/>
          <w:color w:val="000000"/>
          <w:sz w:val="24"/>
          <w:szCs w:val="24"/>
          <w:u w:val="single"/>
          <w:rtl/>
        </w:rPr>
      </w:pPr>
      <w:r w:rsidRPr="00C74496">
        <w:rPr>
          <w:rFonts w:ascii="David" w:eastAsia="Calibri" w:hAnsi="David" w:cs="David"/>
          <w:b/>
          <w:bCs/>
          <w:color w:val="000000"/>
          <w:sz w:val="24"/>
          <w:szCs w:val="24"/>
          <w:u w:val="single"/>
          <w:rtl/>
        </w:rPr>
        <w:t xml:space="preserve">הקצאת מקרקעין לתיירות </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 xml:space="preserve">בהקצאת מקרקעין לתיירות, ישולמו לרשות דמי חכירה מופחתים, בהתאם למפות אזורי עדיפות בתיירות למלונאות, מלוניות ואטרקציות, עפ"י החוק לעידוד השקעות הון, </w:t>
      </w:r>
      <w:proofErr w:type="spellStart"/>
      <w:r w:rsidRPr="00C74496">
        <w:rPr>
          <w:rFonts w:ascii="Calibri" w:eastAsia="Calibri" w:hAnsi="Calibri" w:cs="David"/>
          <w:color w:val="000000"/>
          <w:sz w:val="24"/>
          <w:szCs w:val="24"/>
          <w:rtl/>
        </w:rPr>
        <w:t>התשי"ט</w:t>
      </w:r>
      <w:proofErr w:type="spellEnd"/>
      <w:r w:rsidRPr="00C74496">
        <w:rPr>
          <w:rFonts w:ascii="Calibri" w:eastAsia="Calibri" w:hAnsi="Calibri" w:cs="David"/>
          <w:color w:val="000000"/>
          <w:sz w:val="24"/>
          <w:szCs w:val="24"/>
          <w:rtl/>
        </w:rPr>
        <w:t xml:space="preserve"> - 1959, כפי שתעודכנה מעת לעת, כלהלן:</w:t>
      </w:r>
    </w:p>
    <w:p w:rsidR="00C74496" w:rsidRPr="00C74496" w:rsidRDefault="00C74496" w:rsidP="00C74496">
      <w:pPr>
        <w:keepLines/>
        <w:widowControl w:val="0"/>
        <w:tabs>
          <w:tab w:val="left" w:pos="1097"/>
          <w:tab w:val="left" w:pos="1247"/>
        </w:tabs>
        <w:autoSpaceDE w:val="0"/>
        <w:autoSpaceDN w:val="0"/>
        <w:adjustRightInd w:val="0"/>
        <w:snapToGrid w:val="0"/>
        <w:spacing w:after="0" w:line="360" w:lineRule="auto"/>
        <w:ind w:left="1097"/>
        <w:jc w:val="both"/>
        <w:rPr>
          <w:rFonts w:ascii="Calibri" w:eastAsia="Calibri" w:hAnsi="Calibri" w:cs="David"/>
          <w:color w:val="000000"/>
          <w:sz w:val="24"/>
          <w:szCs w:val="24"/>
        </w:rPr>
      </w:pPr>
    </w:p>
    <w:tbl>
      <w:tblPr>
        <w:bidiVisual/>
        <w:tblW w:w="0" w:type="auto"/>
        <w:tblInd w:w="1382" w:type="dxa"/>
        <w:tblCellMar>
          <w:left w:w="0" w:type="dxa"/>
          <w:right w:w="57" w:type="dxa"/>
        </w:tblCellMar>
        <w:tblLook w:val="04A0" w:firstRow="1" w:lastRow="0" w:firstColumn="1" w:lastColumn="0" w:noHBand="0" w:noVBand="1"/>
      </w:tblPr>
      <w:tblGrid>
        <w:gridCol w:w="2505"/>
        <w:gridCol w:w="280"/>
        <w:gridCol w:w="4196"/>
      </w:tblGrid>
      <w:tr w:rsidR="00C74496" w:rsidRPr="00C74496" w:rsidTr="00C74496">
        <w:tc>
          <w:tcPr>
            <w:tcW w:w="252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b/>
                <w:bCs/>
                <w:color w:val="000000"/>
                <w:sz w:val="24"/>
                <w:szCs w:val="24"/>
              </w:rPr>
            </w:pPr>
            <w:proofErr w:type="spellStart"/>
            <w:r w:rsidRPr="00C74496">
              <w:rPr>
                <w:rFonts w:ascii="Calibri" w:eastAsia="Calibri" w:hAnsi="Calibri" w:cs="David"/>
                <w:b/>
                <w:bCs/>
                <w:color w:val="000000"/>
                <w:sz w:val="24"/>
                <w:szCs w:val="24"/>
                <w:rtl/>
              </w:rPr>
              <w:t>ישובי</w:t>
            </w:r>
            <w:proofErr w:type="spellEnd"/>
            <w:r w:rsidRPr="00C74496">
              <w:rPr>
                <w:rFonts w:ascii="Calibri" w:eastAsia="Calibri" w:hAnsi="Calibri" w:cs="David"/>
                <w:b/>
                <w:bCs/>
                <w:color w:val="000000"/>
                <w:sz w:val="24"/>
                <w:szCs w:val="24"/>
                <w:rtl/>
              </w:rPr>
              <w:t xml:space="preserve"> קו עימות</w:t>
            </w:r>
          </w:p>
        </w:tc>
        <w:tc>
          <w:tcPr>
            <w:tcW w:w="28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w:t>
            </w:r>
          </w:p>
        </w:tc>
        <w:tc>
          <w:tcPr>
            <w:tcW w:w="4234"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פטור מלא מתשלום דמי חכירה מהוונים לתקופת חכירה מלאה ולחידוש במסגרת יובל חכירה ומדמי חכירה שנתיים (לא כולל היוון יתרת שנות חכירה)</w:t>
            </w:r>
          </w:p>
        </w:tc>
      </w:tr>
      <w:tr w:rsidR="00C74496" w:rsidRPr="00C74496" w:rsidTr="00C74496">
        <w:tc>
          <w:tcPr>
            <w:tcW w:w="252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b/>
                <w:bCs/>
                <w:color w:val="000000"/>
                <w:sz w:val="24"/>
                <w:szCs w:val="24"/>
              </w:rPr>
            </w:pPr>
            <w:r w:rsidRPr="00C74496">
              <w:rPr>
                <w:rFonts w:ascii="Calibri" w:eastAsia="Calibri" w:hAnsi="Calibri" w:cs="David"/>
                <w:b/>
                <w:bCs/>
                <w:color w:val="000000"/>
                <w:sz w:val="24"/>
                <w:szCs w:val="24"/>
                <w:rtl/>
              </w:rPr>
              <w:t xml:space="preserve">שאר היישובים במפות תיירות בהתאם לחוק עידוד </w:t>
            </w:r>
            <w:r w:rsidRPr="00C74496">
              <w:rPr>
                <w:rFonts w:ascii="Calibri" w:eastAsia="Calibri" w:hAnsi="Calibri" w:cs="David"/>
                <w:b/>
                <w:bCs/>
                <w:color w:val="000000"/>
                <w:sz w:val="24"/>
                <w:szCs w:val="24"/>
                <w:rtl/>
              </w:rPr>
              <w:lastRenderedPageBreak/>
              <w:t>השקעות הון</w:t>
            </w:r>
          </w:p>
        </w:tc>
        <w:tc>
          <w:tcPr>
            <w:tcW w:w="282"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lastRenderedPageBreak/>
              <w:t>-</w:t>
            </w:r>
          </w:p>
        </w:tc>
        <w:tc>
          <w:tcPr>
            <w:tcW w:w="4234" w:type="dxa"/>
            <w:hideMark/>
          </w:tcPr>
          <w:p w:rsidR="00C74496" w:rsidRPr="00C74496" w:rsidRDefault="00C74496" w:rsidP="00C74496">
            <w:pPr>
              <w:keepLines/>
              <w:widowControl w:val="0"/>
              <w:tabs>
                <w:tab w:val="left" w:pos="624"/>
                <w:tab w:val="left" w:pos="793"/>
                <w:tab w:val="left" w:pos="1247"/>
              </w:tabs>
              <w:autoSpaceDE w:val="0"/>
              <w:autoSpaceDN w:val="0"/>
              <w:adjustRightInd w:val="0"/>
              <w:snapToGrid w:val="0"/>
              <w:spacing w:before="120" w:after="120" w:line="360" w:lineRule="auto"/>
              <w:jc w:val="both"/>
              <w:rPr>
                <w:rFonts w:ascii="Calibri" w:eastAsia="Calibri" w:hAnsi="Calibri" w:cs="David"/>
                <w:color w:val="000000"/>
                <w:sz w:val="24"/>
                <w:szCs w:val="24"/>
              </w:rPr>
            </w:pPr>
            <w:r w:rsidRPr="00C74496">
              <w:rPr>
                <w:rFonts w:ascii="Calibri" w:eastAsia="Calibri" w:hAnsi="Calibri" w:cs="David"/>
                <w:color w:val="000000"/>
                <w:sz w:val="24"/>
                <w:szCs w:val="24"/>
                <w:rtl/>
              </w:rPr>
              <w:t>51% מערך הקרקע.</w:t>
            </w:r>
          </w:p>
        </w:tc>
      </w:tr>
    </w:tbl>
    <w:p w:rsidR="00C74496" w:rsidRPr="00C74496" w:rsidRDefault="00C74496" w:rsidP="00C74496">
      <w:pPr>
        <w:keepLines/>
        <w:widowControl w:val="0"/>
        <w:tabs>
          <w:tab w:val="left" w:pos="1097"/>
          <w:tab w:val="left" w:pos="1247"/>
        </w:tabs>
        <w:autoSpaceDE w:val="0"/>
        <w:autoSpaceDN w:val="0"/>
        <w:adjustRightInd w:val="0"/>
        <w:snapToGrid w:val="0"/>
        <w:spacing w:after="0" w:line="360" w:lineRule="auto"/>
        <w:ind w:left="1097"/>
        <w:jc w:val="both"/>
        <w:rPr>
          <w:rFonts w:ascii="Calibri" w:eastAsia="Calibri" w:hAnsi="Calibri" w:cs="David"/>
          <w:color w:val="000000"/>
          <w:sz w:val="24"/>
          <w:szCs w:val="24"/>
          <w:rtl/>
        </w:rPr>
      </w:pPr>
    </w:p>
    <w:p w:rsidR="00C74496" w:rsidRPr="00C74496" w:rsidRDefault="00C74496" w:rsidP="00C74496">
      <w:pPr>
        <w:numPr>
          <w:ilvl w:val="0"/>
          <w:numId w:val="2"/>
        </w:numPr>
        <w:tabs>
          <w:tab w:val="left" w:pos="523"/>
        </w:tabs>
        <w:spacing w:after="0" w:line="360" w:lineRule="auto"/>
        <w:ind w:left="509" w:hanging="367"/>
        <w:jc w:val="both"/>
        <w:rPr>
          <w:rFonts w:ascii="Calibri" w:eastAsia="Calibri" w:hAnsi="Calibri" w:cs="David"/>
          <w:b/>
          <w:bCs/>
          <w:color w:val="000000"/>
          <w:sz w:val="24"/>
          <w:szCs w:val="24"/>
          <w:u w:val="single"/>
          <w:rtl/>
        </w:rPr>
      </w:pPr>
      <w:r w:rsidRPr="00C74496">
        <w:rPr>
          <w:rFonts w:ascii="David" w:eastAsia="Calibri" w:hAnsi="David" w:cs="David"/>
          <w:b/>
          <w:bCs/>
          <w:color w:val="000000"/>
          <w:sz w:val="24"/>
          <w:szCs w:val="24"/>
          <w:u w:val="single"/>
          <w:rtl/>
        </w:rPr>
        <w:t xml:space="preserve">הקצאת מקרקעין למסחר </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Pr>
      </w:pPr>
      <w:r w:rsidRPr="00C74496">
        <w:rPr>
          <w:rFonts w:ascii="Calibri" w:eastAsia="Calibri" w:hAnsi="Calibri" w:cs="David"/>
          <w:color w:val="000000"/>
          <w:sz w:val="24"/>
          <w:szCs w:val="24"/>
          <w:rtl/>
        </w:rPr>
        <w:t>בהקצאת מקרקעין לבניה למסחר, ישולמו לרשות דמי חכירה מהוונים מופחתים בהתאם לקבוע בסעיף 1.1 להחלטה זו לעניין הקצאת קרקעות למגורים.</w:t>
      </w:r>
    </w:p>
    <w:p w:rsidR="00C74496" w:rsidRPr="00C74496" w:rsidRDefault="00C74496" w:rsidP="00C74496">
      <w:pPr>
        <w:keepLines/>
        <w:widowControl w:val="0"/>
        <w:numPr>
          <w:ilvl w:val="1"/>
          <w:numId w:val="2"/>
        </w:numPr>
        <w:tabs>
          <w:tab w:val="left" w:pos="1097"/>
          <w:tab w:val="left" w:pos="1247"/>
        </w:tabs>
        <w:autoSpaceDE w:val="0"/>
        <w:autoSpaceDN w:val="0"/>
        <w:adjustRightInd w:val="0"/>
        <w:snapToGrid w:val="0"/>
        <w:spacing w:after="0" w:line="360" w:lineRule="auto"/>
        <w:ind w:left="1097" w:hanging="560"/>
        <w:jc w:val="both"/>
        <w:rPr>
          <w:rFonts w:ascii="Calibri" w:eastAsia="Calibri" w:hAnsi="Calibri" w:cs="David"/>
          <w:color w:val="000000"/>
          <w:sz w:val="24"/>
          <w:szCs w:val="24"/>
          <w:rtl/>
        </w:rPr>
      </w:pPr>
      <w:r w:rsidRPr="00C74496">
        <w:rPr>
          <w:rFonts w:ascii="Calibri" w:eastAsia="Calibri" w:hAnsi="Calibri" w:cs="David"/>
          <w:color w:val="000000"/>
          <w:sz w:val="24"/>
          <w:szCs w:val="24"/>
          <w:rtl/>
        </w:rPr>
        <w:t>הפחתת דמי החכירה המהוונים תוגבל למחיר תקרה אשר יעמוד על 300 ₪ למ"ר, לא כולל הוצאות פיתוח ולא כולל מע"מ. כאשר ערכי הקרקע עולים מעל לסכום זה, על ערך הקרקע שמעל 300 ₪ למ"ר לא יחולו ההנחות.</w:t>
      </w:r>
    </w:p>
    <w:p w:rsidR="00C74496" w:rsidRPr="00C74496" w:rsidRDefault="00C74496" w:rsidP="00C74496">
      <w:pPr>
        <w:spacing w:after="120" w:line="360" w:lineRule="auto"/>
        <w:ind w:left="785"/>
        <w:jc w:val="both"/>
        <w:rPr>
          <w:rFonts w:ascii="David" w:eastAsia="Calibri" w:hAnsi="David" w:cs="David"/>
          <w:color w:val="000000"/>
          <w:sz w:val="24"/>
          <w:szCs w:val="24"/>
        </w:rPr>
      </w:pPr>
    </w:p>
    <w:p w:rsidR="00C74496" w:rsidRPr="00C74496" w:rsidRDefault="00C74496" w:rsidP="00C74496">
      <w:pPr>
        <w:spacing w:after="120" w:line="360" w:lineRule="auto"/>
        <w:jc w:val="both"/>
        <w:rPr>
          <w:rFonts w:ascii="Calibri" w:eastAsia="Calibri" w:hAnsi="Calibri" w:cs="David"/>
          <w:b/>
          <w:bCs/>
          <w:color w:val="000000"/>
          <w:sz w:val="24"/>
          <w:szCs w:val="24"/>
          <w:u w:val="single"/>
          <w:rtl/>
        </w:rPr>
      </w:pPr>
      <w:r w:rsidRPr="00C74496">
        <w:rPr>
          <w:rFonts w:ascii="David" w:eastAsia="Calibri" w:hAnsi="David" w:cs="David"/>
          <w:b/>
          <w:bCs/>
          <w:color w:val="000000"/>
          <w:sz w:val="24"/>
          <w:szCs w:val="24"/>
          <w:u w:val="single"/>
          <w:rtl/>
        </w:rPr>
        <w:t>כללי</w:t>
      </w:r>
    </w:p>
    <w:p w:rsidR="00C74496" w:rsidRPr="00C74496" w:rsidRDefault="00C74496" w:rsidP="00C74496">
      <w:pPr>
        <w:numPr>
          <w:ilvl w:val="0"/>
          <w:numId w:val="2"/>
        </w:numPr>
        <w:tabs>
          <w:tab w:val="left" w:pos="509"/>
        </w:tabs>
        <w:spacing w:after="0" w:line="360" w:lineRule="auto"/>
        <w:ind w:left="509" w:hanging="367"/>
        <w:jc w:val="both"/>
        <w:rPr>
          <w:rFonts w:ascii="Calibri" w:eastAsia="Calibri" w:hAnsi="Calibri" w:cs="David"/>
          <w:color w:val="000000"/>
          <w:sz w:val="24"/>
          <w:szCs w:val="24"/>
        </w:rPr>
      </w:pPr>
      <w:r w:rsidRPr="00C74496">
        <w:rPr>
          <w:rFonts w:ascii="David" w:eastAsia="Calibri" w:hAnsi="David" w:cs="David"/>
          <w:color w:val="000000"/>
          <w:sz w:val="24"/>
          <w:szCs w:val="24"/>
          <w:rtl/>
        </w:rPr>
        <w:t>בהקצאת קרקע, בתחומי מועצות אזוריות, שלא בתחום ישובים עם סמל ישוב, תחול הנחת אזור עפ"י הנחת אזור הנהוגה בלפחות 50% מיישובי המועצה אשר הקצאת המקרקעין בתחומה, אלא אם נקבע אחרת בהחלטת מועצה.</w:t>
      </w:r>
    </w:p>
    <w:p w:rsidR="00C74496" w:rsidRPr="00C74496" w:rsidRDefault="00C74496" w:rsidP="00C74496">
      <w:pPr>
        <w:numPr>
          <w:ilvl w:val="0"/>
          <w:numId w:val="2"/>
        </w:numPr>
        <w:tabs>
          <w:tab w:val="left" w:pos="509"/>
        </w:tabs>
        <w:spacing w:after="0" w:line="360" w:lineRule="auto"/>
        <w:ind w:left="509" w:hanging="367"/>
        <w:jc w:val="both"/>
        <w:rPr>
          <w:rFonts w:ascii="Calibri" w:eastAsia="Calibri" w:hAnsi="Calibri" w:cs="David"/>
          <w:color w:val="000000"/>
          <w:sz w:val="24"/>
          <w:szCs w:val="24"/>
        </w:rPr>
      </w:pPr>
      <w:r w:rsidRPr="00C74496">
        <w:rPr>
          <w:rFonts w:ascii="David" w:eastAsia="Calibri" w:hAnsi="David" w:cs="David"/>
          <w:color w:val="000000"/>
          <w:sz w:val="24"/>
          <w:szCs w:val="24"/>
          <w:rtl/>
        </w:rPr>
        <w:t xml:space="preserve">על אף האמור לעיל, יובהר כי במועצות אזוריות אשר לפחות 50% </w:t>
      </w:r>
      <w:proofErr w:type="spellStart"/>
      <w:r w:rsidRPr="00C74496">
        <w:rPr>
          <w:rFonts w:ascii="David" w:eastAsia="Calibri" w:hAnsi="David" w:cs="David"/>
          <w:color w:val="000000"/>
          <w:sz w:val="24"/>
          <w:szCs w:val="24"/>
          <w:rtl/>
        </w:rPr>
        <w:t>מישוביהן</w:t>
      </w:r>
      <w:proofErr w:type="spellEnd"/>
      <w:r w:rsidRPr="00C74496">
        <w:rPr>
          <w:rFonts w:ascii="David" w:eastAsia="Calibri" w:hAnsi="David" w:cs="David"/>
          <w:color w:val="000000"/>
          <w:sz w:val="24"/>
          <w:szCs w:val="24"/>
          <w:rtl/>
        </w:rPr>
        <w:t xml:space="preserve"> בקו עימות, יחולו הנחות קו עימות אך ורק באזורים העומדים בהגדרת קו העימות בצפון ובקו -7 הק"מ מגבול רצועת עזה בדרום.</w:t>
      </w:r>
    </w:p>
    <w:p w:rsidR="00C74496" w:rsidRPr="00C74496" w:rsidRDefault="00C74496" w:rsidP="00C74496">
      <w:pPr>
        <w:numPr>
          <w:ilvl w:val="0"/>
          <w:numId w:val="2"/>
        </w:numPr>
        <w:tabs>
          <w:tab w:val="left" w:pos="509"/>
        </w:tabs>
        <w:spacing w:after="0" w:line="360" w:lineRule="auto"/>
        <w:ind w:left="509" w:hanging="367"/>
        <w:jc w:val="both"/>
        <w:rPr>
          <w:rFonts w:ascii="Calibri" w:eastAsia="Calibri" w:hAnsi="Calibri" w:cs="David"/>
          <w:color w:val="000000"/>
          <w:sz w:val="24"/>
          <w:szCs w:val="24"/>
        </w:rPr>
      </w:pPr>
      <w:r w:rsidRPr="00C74496">
        <w:rPr>
          <w:rFonts w:ascii="David" w:eastAsia="Calibri" w:hAnsi="David" w:cs="David"/>
          <w:color w:val="000000"/>
          <w:sz w:val="24"/>
          <w:szCs w:val="24"/>
          <w:rtl/>
        </w:rPr>
        <w:t>בהקצאת תוספת קרקע בפטור ממכרז לבעלי מקרקעין פרטיים או חוכרים אשר קיבלו בעלות במסגרת הרפורמה במקרקעי ישראל, יחולו הנחות אזור בהתאם להחלטה זו בתוספת של עד 50% משטח המגרש המקורי ולא יותר מדונם וחצי. תוספת הקרקע שמעל לשטח של 50% משטח המגרש המקורי או דונם וחצי יחויבו בתשלום מלא.</w:t>
      </w:r>
    </w:p>
    <w:p w:rsidR="00C74496" w:rsidRPr="00C74496" w:rsidRDefault="00C74496" w:rsidP="00C74496">
      <w:pPr>
        <w:numPr>
          <w:ilvl w:val="0"/>
          <w:numId w:val="2"/>
        </w:numPr>
        <w:tabs>
          <w:tab w:val="left" w:pos="509"/>
        </w:tabs>
        <w:spacing w:after="0" w:line="360" w:lineRule="auto"/>
        <w:ind w:left="509" w:hanging="367"/>
        <w:jc w:val="both"/>
        <w:rPr>
          <w:rFonts w:ascii="Calibri" w:eastAsia="Calibri" w:hAnsi="Calibri" w:cs="David"/>
          <w:color w:val="000000"/>
          <w:sz w:val="24"/>
          <w:szCs w:val="24"/>
        </w:rPr>
      </w:pPr>
      <w:r w:rsidRPr="00C74496">
        <w:rPr>
          <w:rFonts w:ascii="David" w:eastAsia="Calibri" w:hAnsi="David" w:cs="David"/>
          <w:color w:val="000000"/>
          <w:sz w:val="24"/>
          <w:szCs w:val="24"/>
          <w:rtl/>
        </w:rPr>
        <w:t>בהקצאת מקרקעין בשטח גלילי שאינו בשטח שיפוט של רשות מקומית, מוסמכת הנהלת הרשות לקבוע את הנחת האזור על פי כללים שתקבע.</w:t>
      </w:r>
    </w:p>
    <w:p w:rsidR="00C74496" w:rsidRPr="00C74496" w:rsidRDefault="00C74496" w:rsidP="00C74496">
      <w:pPr>
        <w:numPr>
          <w:ilvl w:val="0"/>
          <w:numId w:val="2"/>
        </w:numPr>
        <w:tabs>
          <w:tab w:val="left" w:pos="509"/>
        </w:tabs>
        <w:spacing w:after="0" w:line="360" w:lineRule="auto"/>
        <w:ind w:left="509" w:hanging="367"/>
        <w:jc w:val="both"/>
        <w:rPr>
          <w:rFonts w:ascii="Calibri" w:eastAsia="Calibri" w:hAnsi="Calibri" w:cs="David"/>
          <w:color w:val="000000"/>
          <w:sz w:val="24"/>
          <w:szCs w:val="24"/>
        </w:rPr>
      </w:pPr>
      <w:r w:rsidRPr="00C74496">
        <w:rPr>
          <w:rFonts w:ascii="David" w:eastAsia="Calibri" w:hAnsi="David" w:cs="David"/>
          <w:color w:val="000000"/>
          <w:sz w:val="24"/>
          <w:szCs w:val="24"/>
          <w:rtl/>
        </w:rPr>
        <w:t>החלטה זו תחול על הקצאות מקרקעין שלא בדרך של מכרז פומבי.</w:t>
      </w:r>
    </w:p>
    <w:p w:rsidR="00C74496" w:rsidRPr="00C74496" w:rsidRDefault="00C74496" w:rsidP="00C74496">
      <w:pPr>
        <w:numPr>
          <w:ilvl w:val="0"/>
          <w:numId w:val="2"/>
        </w:numPr>
        <w:tabs>
          <w:tab w:val="left" w:pos="509"/>
        </w:tabs>
        <w:spacing w:after="0" w:line="360" w:lineRule="auto"/>
        <w:ind w:left="509" w:hanging="367"/>
        <w:jc w:val="both"/>
        <w:rPr>
          <w:rFonts w:ascii="Calibri" w:eastAsia="Calibri" w:hAnsi="Calibri" w:cs="David"/>
          <w:color w:val="000000"/>
          <w:sz w:val="24"/>
          <w:szCs w:val="24"/>
        </w:rPr>
      </w:pPr>
      <w:r w:rsidRPr="00C74496">
        <w:rPr>
          <w:rFonts w:ascii="David" w:eastAsia="Calibri" w:hAnsi="David" w:cs="David"/>
          <w:color w:val="000000"/>
          <w:sz w:val="24"/>
          <w:szCs w:val="24"/>
          <w:rtl/>
        </w:rPr>
        <w:t xml:space="preserve">הרשות תכין רשימות ישובים בהתאם להחלטה זו. יובהר כי הקריטריונים האמורים בהחלטת הממשלה מספר 1527 מיום 19.6.16 ובהחלטה זו, הם הקובעים ורשימות הישובים ישמשו ככלי עזר בלבד. </w:t>
      </w:r>
    </w:p>
    <w:p w:rsidR="00C74496" w:rsidRPr="00C74496" w:rsidRDefault="00C74496" w:rsidP="00C74496">
      <w:pPr>
        <w:numPr>
          <w:ilvl w:val="0"/>
          <w:numId w:val="2"/>
        </w:numPr>
        <w:tabs>
          <w:tab w:val="left" w:pos="509"/>
        </w:tabs>
        <w:spacing w:after="0" w:line="360" w:lineRule="auto"/>
        <w:ind w:left="509" w:hanging="367"/>
        <w:jc w:val="both"/>
        <w:rPr>
          <w:rFonts w:ascii="Calibri" w:eastAsia="Calibri" w:hAnsi="Calibri" w:cs="David"/>
          <w:color w:val="000000"/>
          <w:sz w:val="24"/>
          <w:szCs w:val="24"/>
        </w:rPr>
      </w:pPr>
      <w:r w:rsidRPr="00C74496">
        <w:rPr>
          <w:rFonts w:ascii="David" w:eastAsia="Calibri" w:hAnsi="David" w:cs="David"/>
          <w:color w:val="000000"/>
          <w:sz w:val="24"/>
          <w:szCs w:val="24"/>
          <w:rtl/>
        </w:rPr>
        <w:t>תוקף מפת העדיפות לסעיפים 1, 2.2 ו-4 בהחלטה זו כתוקפה של החלטת הממשלה מספר 1527.</w:t>
      </w:r>
    </w:p>
    <w:p w:rsidR="00C74496" w:rsidRPr="00C74496" w:rsidRDefault="00C74496" w:rsidP="00C74496">
      <w:pPr>
        <w:numPr>
          <w:ilvl w:val="0"/>
          <w:numId w:val="2"/>
        </w:numPr>
        <w:tabs>
          <w:tab w:val="left" w:pos="509"/>
        </w:tabs>
        <w:spacing w:after="0" w:line="360" w:lineRule="auto"/>
        <w:ind w:left="509" w:hanging="367"/>
        <w:jc w:val="both"/>
        <w:rPr>
          <w:rFonts w:ascii="Calibri" w:eastAsia="Calibri" w:hAnsi="Calibri" w:cs="David"/>
          <w:color w:val="000000"/>
          <w:sz w:val="24"/>
          <w:szCs w:val="24"/>
        </w:rPr>
      </w:pPr>
      <w:r w:rsidRPr="00C74496">
        <w:rPr>
          <w:rFonts w:ascii="David" w:eastAsia="Calibri" w:hAnsi="David" w:cs="David"/>
          <w:color w:val="000000"/>
          <w:sz w:val="24"/>
          <w:szCs w:val="24"/>
          <w:rtl/>
        </w:rPr>
        <w:t>החלטה זו מבטלת את החלטת מועצה מספר 1505.</w:t>
      </w:r>
    </w:p>
    <w:p w:rsidR="00C74496" w:rsidRPr="00C74496" w:rsidRDefault="00C74496" w:rsidP="00C74496">
      <w:pPr>
        <w:tabs>
          <w:tab w:val="left" w:pos="509"/>
        </w:tabs>
        <w:spacing w:after="0" w:line="360" w:lineRule="auto"/>
        <w:jc w:val="both"/>
        <w:rPr>
          <w:rFonts w:ascii="David" w:eastAsia="Calibri" w:hAnsi="David" w:cs="David"/>
          <w:sz w:val="24"/>
          <w:szCs w:val="24"/>
        </w:rPr>
      </w:pPr>
    </w:p>
    <w:p w:rsidR="00C74496" w:rsidRPr="00C74496" w:rsidRDefault="00C74496" w:rsidP="00C74496">
      <w:pPr>
        <w:spacing w:after="0" w:line="360" w:lineRule="auto"/>
        <w:jc w:val="both"/>
        <w:rPr>
          <w:rFonts w:ascii="David" w:eastAsia="Calibri" w:hAnsi="David" w:cs="David"/>
          <w:sz w:val="24"/>
          <w:szCs w:val="24"/>
          <w:rtl/>
        </w:rPr>
      </w:pPr>
    </w:p>
    <w:p w:rsidR="00C74496" w:rsidRPr="00C74496" w:rsidRDefault="00C74496" w:rsidP="00C74496">
      <w:pPr>
        <w:spacing w:after="0" w:line="360" w:lineRule="auto"/>
        <w:jc w:val="both"/>
        <w:rPr>
          <w:rFonts w:ascii="David" w:eastAsia="Calibri" w:hAnsi="David" w:cs="David"/>
          <w:sz w:val="24"/>
          <w:szCs w:val="24"/>
          <w:rtl/>
        </w:rPr>
      </w:pPr>
    </w:p>
    <w:p w:rsidR="00C74496" w:rsidRPr="00C74496" w:rsidRDefault="00C74496" w:rsidP="00C74496">
      <w:pPr>
        <w:spacing w:after="0" w:line="360" w:lineRule="auto"/>
        <w:jc w:val="both"/>
        <w:rPr>
          <w:rFonts w:ascii="David" w:eastAsia="Calibri" w:hAnsi="David" w:cs="David"/>
          <w:sz w:val="24"/>
          <w:szCs w:val="24"/>
          <w:rtl/>
        </w:rPr>
      </w:pPr>
    </w:p>
    <w:p w:rsidR="00C74496" w:rsidRPr="00C74496" w:rsidRDefault="00C74496" w:rsidP="00C74496">
      <w:pPr>
        <w:spacing w:after="0" w:line="360" w:lineRule="auto"/>
        <w:jc w:val="both"/>
        <w:rPr>
          <w:rFonts w:ascii="David" w:eastAsia="Calibri" w:hAnsi="David" w:cs="David"/>
          <w:sz w:val="24"/>
          <w:szCs w:val="24"/>
          <w:rtl/>
        </w:rPr>
      </w:pPr>
    </w:p>
    <w:p w:rsidR="00C74496" w:rsidRPr="00C74496" w:rsidRDefault="00C74496" w:rsidP="00C74496">
      <w:pPr>
        <w:spacing w:after="0" w:line="360" w:lineRule="auto"/>
        <w:jc w:val="both"/>
        <w:rPr>
          <w:rFonts w:ascii="David" w:eastAsia="Calibri" w:hAnsi="David" w:cs="David"/>
          <w:b/>
          <w:bCs/>
          <w:sz w:val="24"/>
          <w:szCs w:val="24"/>
          <w:u w:val="single"/>
          <w:rtl/>
        </w:rPr>
      </w:pPr>
      <w:r w:rsidRPr="00C74496">
        <w:rPr>
          <w:rFonts w:ascii="David" w:eastAsia="Calibri" w:hAnsi="David" w:cs="David"/>
          <w:b/>
          <w:bCs/>
          <w:sz w:val="24"/>
          <w:szCs w:val="24"/>
          <w:u w:val="single"/>
          <w:rtl/>
        </w:rPr>
        <w:t>נספח א'</w:t>
      </w:r>
    </w:p>
    <w:p w:rsidR="00C74496" w:rsidRPr="00C74496" w:rsidRDefault="00C74496" w:rsidP="00C74496">
      <w:pPr>
        <w:spacing w:after="0" w:line="360" w:lineRule="auto"/>
        <w:jc w:val="both"/>
        <w:rPr>
          <w:rFonts w:ascii="David" w:eastAsia="Calibri" w:hAnsi="David" w:cs="David"/>
          <w:sz w:val="24"/>
          <w:szCs w:val="24"/>
          <w:rtl/>
        </w:rPr>
      </w:pPr>
    </w:p>
    <w:p w:rsidR="00C74496" w:rsidRPr="00C74496" w:rsidRDefault="00C74496" w:rsidP="00C74496">
      <w:pPr>
        <w:numPr>
          <w:ilvl w:val="0"/>
          <w:numId w:val="3"/>
        </w:numPr>
        <w:spacing w:after="0" w:line="360" w:lineRule="auto"/>
        <w:ind w:left="383"/>
        <w:jc w:val="both"/>
        <w:rPr>
          <w:rFonts w:ascii="David" w:eastAsia="Calibri" w:hAnsi="David" w:cs="David"/>
          <w:color w:val="000000"/>
          <w:sz w:val="24"/>
          <w:szCs w:val="24"/>
          <w:rtl/>
        </w:rPr>
      </w:pPr>
      <w:hyperlink r:id="rId6" w:history="1">
        <w:r w:rsidRPr="00C74496">
          <w:rPr>
            <w:rFonts w:ascii="David" w:eastAsia="Calibri" w:hAnsi="David" w:cs="David"/>
            <w:color w:val="0000FF"/>
            <w:sz w:val="24"/>
            <w:szCs w:val="24"/>
            <w:u w:val="single"/>
            <w:rtl/>
          </w:rPr>
          <w:t>רשימת ישובים באזורי עדיפות לאומית – מגורים</w:t>
        </w:r>
      </w:hyperlink>
    </w:p>
    <w:p w:rsidR="00C74496" w:rsidRPr="00C74496" w:rsidRDefault="00C74496" w:rsidP="00C74496">
      <w:pPr>
        <w:spacing w:after="0" w:line="360" w:lineRule="auto"/>
        <w:ind w:left="383"/>
        <w:jc w:val="both"/>
        <w:rPr>
          <w:rFonts w:ascii="David" w:eastAsia="Calibri" w:hAnsi="David" w:cs="David"/>
          <w:color w:val="000000"/>
          <w:sz w:val="24"/>
          <w:szCs w:val="24"/>
          <w:rtl/>
        </w:rPr>
      </w:pPr>
    </w:p>
    <w:p w:rsidR="00C74496" w:rsidRPr="00C74496" w:rsidRDefault="00C74496" w:rsidP="00C74496">
      <w:pPr>
        <w:numPr>
          <w:ilvl w:val="0"/>
          <w:numId w:val="3"/>
        </w:numPr>
        <w:spacing w:after="0" w:line="360" w:lineRule="auto"/>
        <w:ind w:left="383"/>
        <w:jc w:val="both"/>
        <w:rPr>
          <w:rFonts w:ascii="David" w:eastAsia="Calibri" w:hAnsi="David" w:cs="David"/>
          <w:color w:val="000000"/>
          <w:sz w:val="24"/>
          <w:szCs w:val="24"/>
          <w:rtl/>
        </w:rPr>
      </w:pPr>
      <w:hyperlink r:id="rId7" w:history="1">
        <w:r w:rsidRPr="00C74496">
          <w:rPr>
            <w:rFonts w:ascii="David" w:eastAsia="Calibri" w:hAnsi="David" w:cs="David"/>
            <w:color w:val="0000FF"/>
            <w:sz w:val="24"/>
            <w:szCs w:val="24"/>
            <w:u w:val="single"/>
            <w:rtl/>
          </w:rPr>
          <w:t>רשימת ישובים באזורי עדיפות לאומית – שטחים כלואים</w:t>
        </w:r>
      </w:hyperlink>
    </w:p>
    <w:p w:rsidR="00C74496" w:rsidRPr="00C74496" w:rsidRDefault="00C74496" w:rsidP="00C74496">
      <w:pPr>
        <w:spacing w:after="0" w:line="360" w:lineRule="auto"/>
        <w:ind w:left="383"/>
        <w:jc w:val="both"/>
        <w:rPr>
          <w:rFonts w:ascii="David" w:eastAsia="Calibri" w:hAnsi="David" w:cs="David"/>
          <w:color w:val="000000"/>
          <w:sz w:val="24"/>
          <w:szCs w:val="24"/>
          <w:rtl/>
        </w:rPr>
      </w:pPr>
    </w:p>
    <w:p w:rsidR="00C74496" w:rsidRPr="00C74496" w:rsidRDefault="00C74496" w:rsidP="00C74496">
      <w:pPr>
        <w:numPr>
          <w:ilvl w:val="0"/>
          <w:numId w:val="3"/>
        </w:numPr>
        <w:spacing w:after="0" w:line="360" w:lineRule="auto"/>
        <w:ind w:left="383"/>
        <w:jc w:val="both"/>
        <w:rPr>
          <w:rFonts w:ascii="David" w:eastAsia="Calibri" w:hAnsi="David" w:cs="David"/>
          <w:color w:val="000000"/>
          <w:sz w:val="24"/>
          <w:szCs w:val="24"/>
          <w:rtl/>
        </w:rPr>
      </w:pPr>
      <w:hyperlink r:id="rId8" w:history="1">
        <w:r w:rsidRPr="00C74496">
          <w:rPr>
            <w:rFonts w:ascii="David" w:eastAsia="Calibri" w:hAnsi="David" w:cs="David"/>
            <w:color w:val="0000FF"/>
            <w:sz w:val="24"/>
            <w:szCs w:val="24"/>
            <w:u w:val="single"/>
            <w:rtl/>
          </w:rPr>
          <w:t>רשימת ישובים באזורי עדיפות לאומית – משרד הכלכלה</w:t>
        </w:r>
      </w:hyperlink>
    </w:p>
    <w:p w:rsidR="00C74496" w:rsidRPr="00C74496" w:rsidRDefault="00C74496" w:rsidP="00C74496">
      <w:pPr>
        <w:spacing w:after="0" w:line="360" w:lineRule="auto"/>
        <w:ind w:left="383"/>
        <w:jc w:val="both"/>
        <w:rPr>
          <w:rFonts w:ascii="David" w:eastAsia="Calibri" w:hAnsi="David" w:cs="David"/>
          <w:color w:val="000000"/>
          <w:sz w:val="24"/>
          <w:szCs w:val="24"/>
          <w:rtl/>
        </w:rPr>
      </w:pPr>
    </w:p>
    <w:p w:rsidR="00C74496" w:rsidRPr="00C74496" w:rsidRDefault="00C74496" w:rsidP="00C74496">
      <w:pPr>
        <w:numPr>
          <w:ilvl w:val="0"/>
          <w:numId w:val="3"/>
        </w:numPr>
        <w:spacing w:after="0" w:line="360" w:lineRule="auto"/>
        <w:ind w:left="383"/>
        <w:jc w:val="both"/>
        <w:rPr>
          <w:rFonts w:ascii="David" w:eastAsia="Calibri" w:hAnsi="David" w:cs="David"/>
          <w:color w:val="000000"/>
          <w:sz w:val="24"/>
          <w:szCs w:val="24"/>
          <w:rtl/>
        </w:rPr>
      </w:pPr>
      <w:hyperlink r:id="rId9" w:history="1">
        <w:r w:rsidRPr="00C74496">
          <w:rPr>
            <w:rFonts w:ascii="David" w:eastAsia="Calibri" w:hAnsi="David" w:cs="David"/>
            <w:color w:val="0000FF"/>
            <w:sz w:val="24"/>
            <w:szCs w:val="24"/>
            <w:u w:val="single"/>
            <w:rtl/>
          </w:rPr>
          <w:t xml:space="preserve">רשימת ישובים </w:t>
        </w:r>
        <w:proofErr w:type="spellStart"/>
        <w:r w:rsidRPr="00C74496">
          <w:rPr>
            <w:rFonts w:ascii="David" w:eastAsia="Calibri" w:hAnsi="David" w:cs="David"/>
            <w:color w:val="0000FF"/>
            <w:sz w:val="24"/>
            <w:szCs w:val="24"/>
            <w:u w:val="single"/>
            <w:rtl/>
          </w:rPr>
          <w:t>באיזורי</w:t>
        </w:r>
        <w:proofErr w:type="spellEnd"/>
        <w:r w:rsidRPr="00C74496">
          <w:rPr>
            <w:rFonts w:ascii="David" w:eastAsia="Calibri" w:hAnsi="David" w:cs="David"/>
            <w:color w:val="0000FF"/>
            <w:sz w:val="24"/>
            <w:szCs w:val="24"/>
            <w:u w:val="single"/>
            <w:rtl/>
          </w:rPr>
          <w:t xml:space="preserve"> עדיפות לאומית ב למטרת תיירות ואטרקציה</w:t>
        </w:r>
      </w:hyperlink>
    </w:p>
    <w:p w:rsidR="00C74496" w:rsidRPr="00C74496" w:rsidRDefault="00C74496" w:rsidP="00C74496">
      <w:pPr>
        <w:spacing w:after="0" w:line="360" w:lineRule="auto"/>
        <w:ind w:left="720"/>
        <w:contextualSpacing/>
        <w:rPr>
          <w:rFonts w:ascii="David" w:eastAsia="Times New Roman" w:hAnsi="David" w:cs="David"/>
          <w:b/>
          <w:color w:val="000000"/>
          <w:sz w:val="24"/>
          <w:szCs w:val="24"/>
          <w:rtl/>
        </w:rPr>
      </w:pPr>
    </w:p>
    <w:p w:rsidR="00C74496" w:rsidRPr="00C74496" w:rsidRDefault="00C74496" w:rsidP="00C74496">
      <w:pPr>
        <w:numPr>
          <w:ilvl w:val="0"/>
          <w:numId w:val="3"/>
        </w:numPr>
        <w:spacing w:after="0" w:line="360" w:lineRule="auto"/>
        <w:ind w:left="383"/>
        <w:jc w:val="both"/>
        <w:rPr>
          <w:rFonts w:ascii="David" w:eastAsia="Calibri" w:hAnsi="David" w:cs="David"/>
          <w:color w:val="000000"/>
          <w:sz w:val="24"/>
          <w:szCs w:val="24"/>
          <w:rtl/>
        </w:rPr>
      </w:pPr>
      <w:r w:rsidRPr="00C74496">
        <w:rPr>
          <w:rFonts w:ascii="David" w:eastAsia="Calibri" w:hAnsi="David" w:cs="David"/>
          <w:color w:val="000000"/>
          <w:sz w:val="24"/>
          <w:szCs w:val="24"/>
          <w:u w:val="single"/>
          <w:rtl/>
        </w:rPr>
        <w:t xml:space="preserve">רשימת ישובים באזורי עדיפות לאומית ב' למטרת הקמת מתקן תיירותי ללינה בהתאם לצו לעידוד השקעות הון (קביעת תחומי אזורים מיוחדים לעניין מפעלי תיירות) (הוראת שעה), </w:t>
      </w:r>
      <w:proofErr w:type="spellStart"/>
      <w:r w:rsidRPr="00C74496">
        <w:rPr>
          <w:rFonts w:ascii="David" w:eastAsia="Calibri" w:hAnsi="David" w:cs="David"/>
          <w:color w:val="000000"/>
          <w:sz w:val="24"/>
          <w:szCs w:val="24"/>
          <w:u w:val="single"/>
          <w:rtl/>
        </w:rPr>
        <w:t>התשע"ו</w:t>
      </w:r>
      <w:proofErr w:type="spellEnd"/>
      <w:r w:rsidRPr="00C74496">
        <w:rPr>
          <w:rFonts w:ascii="David" w:eastAsia="Calibri" w:hAnsi="David" w:cs="David"/>
          <w:color w:val="000000"/>
          <w:sz w:val="24"/>
          <w:szCs w:val="24"/>
          <w:u w:val="single"/>
          <w:rtl/>
        </w:rPr>
        <w:t xml:space="preserve"> – 2016</w:t>
      </w:r>
      <w:r w:rsidRPr="00C74496">
        <w:rPr>
          <w:rFonts w:ascii="David" w:eastAsia="Calibri" w:hAnsi="David" w:cs="David"/>
          <w:color w:val="000000"/>
          <w:sz w:val="24"/>
          <w:szCs w:val="24"/>
          <w:rtl/>
        </w:rPr>
        <w:t xml:space="preserve"> : כל הארץ, למעט שטח השיפוט העירוני של עיריות הרצליה ותל אביב יפו.</w:t>
      </w:r>
    </w:p>
    <w:p w:rsidR="008E40E5" w:rsidRDefault="008E40E5"/>
    <w:sectPr w:rsidR="008E40E5" w:rsidSect="00D860C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E7BD1"/>
    <w:multiLevelType w:val="multilevel"/>
    <w:tmpl w:val="72F80BC8"/>
    <w:lvl w:ilvl="0">
      <w:start w:val="1"/>
      <w:numFmt w:val="decimal"/>
      <w:lvlText w:val="%1."/>
      <w:lvlJc w:val="left"/>
      <w:pPr>
        <w:ind w:left="643" w:hanging="360"/>
      </w:pPr>
      <w:rPr>
        <w:b w:val="0"/>
        <w:bCs w:val="0"/>
      </w:rPr>
    </w:lvl>
    <w:lvl w:ilvl="1">
      <w:start w:val="1"/>
      <w:numFmt w:val="decimal"/>
      <w:isLgl/>
      <w:lvlText w:val="%1.%2."/>
      <w:lvlJc w:val="left"/>
      <w:pPr>
        <w:ind w:left="785" w:hanging="360"/>
      </w:pPr>
      <w:rPr>
        <w:b w:val="0"/>
        <w:bCs w:val="0"/>
        <w:lang w:bidi="he-IL"/>
      </w:rPr>
    </w:lvl>
    <w:lvl w:ilvl="2">
      <w:start w:val="1"/>
      <w:numFmt w:val="decimal"/>
      <w:isLgl/>
      <w:lvlText w:val="%1.%2.%3."/>
      <w:lvlJc w:val="left"/>
      <w:pPr>
        <w:ind w:left="1287" w:hanging="720"/>
      </w:pPr>
      <w:rPr>
        <w:b w:val="0"/>
        <w:bCs w:val="0"/>
      </w:rPr>
    </w:lvl>
    <w:lvl w:ilvl="3">
      <w:start w:val="1"/>
      <w:numFmt w:val="decimal"/>
      <w:isLgl/>
      <w:lvlText w:val="%1.%2.%3.%4."/>
      <w:lvlJc w:val="left"/>
      <w:pPr>
        <w:ind w:left="1429" w:hanging="720"/>
      </w:pPr>
    </w:lvl>
    <w:lvl w:ilvl="4">
      <w:start w:val="1"/>
      <w:numFmt w:val="decimal"/>
      <w:isLgl/>
      <w:lvlText w:val="%1.%2.%3.%4.%5."/>
      <w:lvlJc w:val="left"/>
      <w:pPr>
        <w:ind w:left="1931" w:hanging="1080"/>
      </w:pPr>
    </w:lvl>
    <w:lvl w:ilvl="5">
      <w:start w:val="1"/>
      <w:numFmt w:val="decimal"/>
      <w:isLgl/>
      <w:lvlText w:val="%1.%2.%3.%4.%5.%6."/>
      <w:lvlJc w:val="left"/>
      <w:pPr>
        <w:ind w:left="2073" w:hanging="1080"/>
      </w:pPr>
    </w:lvl>
    <w:lvl w:ilvl="6">
      <w:start w:val="1"/>
      <w:numFmt w:val="decimal"/>
      <w:isLgl/>
      <w:lvlText w:val="%1.%2.%3.%4.%5.%6.%7."/>
      <w:lvlJc w:val="left"/>
      <w:pPr>
        <w:ind w:left="2575" w:hanging="1440"/>
      </w:pPr>
    </w:lvl>
    <w:lvl w:ilvl="7">
      <w:start w:val="1"/>
      <w:numFmt w:val="decimal"/>
      <w:isLgl/>
      <w:lvlText w:val="%1.%2.%3.%4.%5.%6.%7.%8."/>
      <w:lvlJc w:val="left"/>
      <w:pPr>
        <w:ind w:left="2717" w:hanging="1440"/>
      </w:pPr>
    </w:lvl>
    <w:lvl w:ilvl="8">
      <w:start w:val="1"/>
      <w:numFmt w:val="decimal"/>
      <w:isLgl/>
      <w:lvlText w:val="%1.%2.%3.%4.%5.%6.%7.%8.%9."/>
      <w:lvlJc w:val="left"/>
      <w:pPr>
        <w:ind w:left="3219" w:hanging="1800"/>
      </w:pPr>
    </w:lvl>
  </w:abstractNum>
  <w:abstractNum w:abstractNumId="1">
    <w:nsid w:val="54673855"/>
    <w:multiLevelType w:val="hybridMultilevel"/>
    <w:tmpl w:val="72188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EA97B72"/>
    <w:multiLevelType w:val="hybridMultilevel"/>
    <w:tmpl w:val="0A663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96"/>
    <w:rsid w:val="008E40E5"/>
    <w:rsid w:val="00C74496"/>
    <w:rsid w:val="00D860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semiHidden/>
    <w:unhideWhenUsed/>
    <w:rsid w:val="00C74496"/>
    <w:rPr>
      <w:color w:val="0000FF"/>
      <w:u w:val="single"/>
    </w:rPr>
  </w:style>
  <w:style w:type="paragraph" w:styleId="a3">
    <w:name w:val="List Paragraph"/>
    <w:basedOn w:val="a"/>
    <w:uiPriority w:val="34"/>
    <w:qFormat/>
    <w:rsid w:val="00C74496"/>
    <w:pPr>
      <w:spacing w:after="0" w:line="360" w:lineRule="auto"/>
      <w:ind w:left="720"/>
      <w:contextualSpacing/>
    </w:pPr>
    <w:rPr>
      <w:rFonts w:ascii="Times New Roman" w:eastAsia="Times New Roman" w:hAnsi="Times New Roman" w:cs="David"/>
      <w:b/>
      <w:szCs w:val="26"/>
    </w:rPr>
  </w:style>
  <w:style w:type="paragraph" w:customStyle="1" w:styleId="TableBlockOutdent">
    <w:name w:val="Table BlockOutdent"/>
    <w:basedOn w:val="a"/>
    <w:uiPriority w:val="99"/>
    <w:rsid w:val="00C74496"/>
    <w:pPr>
      <w:keepLines/>
      <w:widowControl w:val="0"/>
      <w:tabs>
        <w:tab w:val="left" w:pos="624"/>
        <w:tab w:val="left" w:pos="1247"/>
      </w:tabs>
      <w:autoSpaceDE w:val="0"/>
      <w:autoSpaceDN w:val="0"/>
      <w:adjustRightInd w:val="0"/>
      <w:snapToGrid w:val="0"/>
      <w:spacing w:after="0" w:line="360" w:lineRule="auto"/>
      <w:ind w:left="624" w:hanging="624"/>
      <w:jc w:val="both"/>
    </w:pPr>
    <w:rPr>
      <w:rFonts w:ascii="Arial" w:eastAsia="Arial Unicode MS" w:hAnsi="Arial" w:cs="Arial Unicode MS"/>
      <w:color w:val="000000"/>
      <w:sz w:val="20"/>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semiHidden/>
    <w:unhideWhenUsed/>
    <w:rsid w:val="00C74496"/>
    <w:rPr>
      <w:color w:val="0000FF"/>
      <w:u w:val="single"/>
    </w:rPr>
  </w:style>
  <w:style w:type="paragraph" w:styleId="a3">
    <w:name w:val="List Paragraph"/>
    <w:basedOn w:val="a"/>
    <w:uiPriority w:val="34"/>
    <w:qFormat/>
    <w:rsid w:val="00C74496"/>
    <w:pPr>
      <w:spacing w:after="0" w:line="360" w:lineRule="auto"/>
      <w:ind w:left="720"/>
      <w:contextualSpacing/>
    </w:pPr>
    <w:rPr>
      <w:rFonts w:ascii="Times New Roman" w:eastAsia="Times New Roman" w:hAnsi="Times New Roman" w:cs="David"/>
      <w:b/>
      <w:szCs w:val="26"/>
    </w:rPr>
  </w:style>
  <w:style w:type="paragraph" w:customStyle="1" w:styleId="TableBlockOutdent">
    <w:name w:val="Table BlockOutdent"/>
    <w:basedOn w:val="a"/>
    <w:uiPriority w:val="99"/>
    <w:rsid w:val="00C74496"/>
    <w:pPr>
      <w:keepLines/>
      <w:widowControl w:val="0"/>
      <w:tabs>
        <w:tab w:val="left" w:pos="624"/>
        <w:tab w:val="left" w:pos="1247"/>
      </w:tabs>
      <w:autoSpaceDE w:val="0"/>
      <w:autoSpaceDN w:val="0"/>
      <w:adjustRightInd w:val="0"/>
      <w:snapToGrid w:val="0"/>
      <w:spacing w:after="0" w:line="360" w:lineRule="auto"/>
      <w:ind w:left="624" w:hanging="624"/>
      <w:jc w:val="both"/>
    </w:pPr>
    <w:rPr>
      <w:rFonts w:ascii="Arial" w:eastAsia="Arial Unicode MS" w:hAnsi="Arial" w:cs="Arial Unicode MS"/>
      <w:color w:val="000000"/>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gov.il/moatzaweb/MismachimMekusharim/_1%D7%A8%D7%A9%D7%99%D7%9E%D7%AA%20%D7%99%D7%A9%D7%95%D7%91%D7%99%D7%9D%20%D7%91%D7%90%D7%96%D7%95%D7%A8%D7%99%20%D7%A2%D7%93%D7%99%D7%A4%D7%95%D7%AA%20%D7%9E%D7%A9%D7%A8%D7%93%20%D7%94%D7%9B%D7%9C%D7%9B%D7%9C%D7%94.pdf" TargetMode="External"/><Relationship Id="rId3" Type="http://schemas.microsoft.com/office/2007/relationships/stylesWithEffects" Target="stylesWithEffects.xml"/><Relationship Id="rId7" Type="http://schemas.openxmlformats.org/officeDocument/2006/relationships/hyperlink" Target="http://www.land.gov.il/moatzaweb/MismachimMekusharim/_1%D7%A8%D7%A9%D7%99%D7%9E%D7%AA%20%D7%99%D7%A9%D7%95%D7%91%D7%99%D7%9D%20%D7%91%D7%90%D7%96%D7%95%D7%A8%D7%99%20%D7%A2%D7%93%D7%99%D7%A4%D7%95%D7%AA%20%D7%A9%D7%98%D7%97%D7%99%D7%9D%20%D7%9B%D7%9C%D7%95%D7%90%D7%99%D7%9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d.gov.il/moatzaweb/MismachimMekusharim/1%D7%A8%D7%A9%D7%99%D7%9E%D7%AA%20%D7%99%D7%A9%D7%95%D7%91%D7%99%D7%9D%20%D7%91%D7%90%D7%96%D7%95%D7%A8%D7%99%20%D7%A2%D7%93%D7%99%D7%A4%D7%95%D7%AA%20%D7%9C%D7%90%D7%95%D7%9E%D7%99%D7%AA%20%D7%9C%D7%9E%D7%92%D7%95%D7%A8%D7%99%D7%9D.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nd.gov.il/moatzaweb/MismachimMekusharim/_1%D7%A8%D7%A9%D7%99%D7%9E%D7%AA%20%D7%99%D7%A9%D7%95%D7%91%D7%99%D7%9D%20%D7%91%D7%90%D7%96%D7%95%D7%A8%20%D7%A2%D7%93%D7%99%D7%A4%D7%95%D7%AA%20%D7%9C%D7%90%D7%95%D7%9E%D7%99%D7%AA%20%D7%91%20%D7%9C%D7%9E%D7%98%D7%A8%D7%AA%20%D7%94%D7%A7%D7%9E%D7%AA%20%D7%90%D7%98%D7%A8%D7%A7%D7%A6%D7%99%D7%94%20%D7%AA%D7%99%D7%99%D7%A8%D7%95%D7%AA%D7%99%D7%AA.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7927</Characters>
  <Application>Microsoft Office Word</Application>
  <DocSecurity>0</DocSecurity>
  <Lines>273</Lines>
  <Paragraphs>144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2018-04-30T09:03:00Z</dcterms:created>
  <dcterms:modified xsi:type="dcterms:W3CDTF">2018-04-30T09:04:00Z</dcterms:modified>
</cp:coreProperties>
</file>