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C9612" w14:textId="77777777" w:rsidR="001B35FE" w:rsidRDefault="00925010">
      <w:pPr>
        <w:pStyle w:val="lawviewview-contentdivtat-header"/>
        <w:bidi/>
        <w:spacing w:before="300" w:after="192" w:line="432" w:lineRule="atLeast"/>
        <w:ind w:left="300" w:right="300"/>
        <w:jc w:val="both"/>
        <w:rPr>
          <w:rStyle w:val="any"/>
          <w:rtl/>
        </w:rPr>
      </w:pPr>
      <w:r>
        <w:rPr>
          <w:rStyle w:val="any"/>
          <w:rtl/>
          <w:lang w:bidi="he-IL"/>
        </w:rPr>
        <w:t>פרק</w:t>
      </w:r>
      <w:r>
        <w:rPr>
          <w:rStyle w:val="any"/>
          <w:rtl/>
        </w:rPr>
        <w:t xml:space="preserve"> 4: </w:t>
      </w:r>
      <w:r>
        <w:rPr>
          <w:rStyle w:val="any"/>
          <w:rtl/>
          <w:lang w:bidi="he-IL"/>
        </w:rPr>
        <w:t>מדיניות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הקצאת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קרקע</w:t>
      </w:r>
    </w:p>
    <w:p w14:paraId="56E5FA58" w14:textId="77777777" w:rsidR="001B35FE" w:rsidRDefault="00925010">
      <w:pPr>
        <w:pStyle w:val="lawviewview-contentdivh3tat-header"/>
        <w:pBdr>
          <w:right w:val="none" w:sz="0" w:space="7" w:color="auto"/>
        </w:pBdr>
        <w:shd w:val="clear" w:color="auto" w:fill="263C4A"/>
        <w:bidi/>
        <w:spacing w:after="192" w:line="432" w:lineRule="atLeast"/>
        <w:ind w:left="450" w:right="300"/>
        <w:jc w:val="both"/>
        <w:rPr>
          <w:rStyle w:val="any"/>
          <w:rtl/>
        </w:rPr>
      </w:pPr>
      <w:r>
        <w:rPr>
          <w:rStyle w:val="any"/>
          <w:rtl/>
          <w:lang w:bidi="he-IL"/>
        </w:rPr>
        <w:t>חלק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מדיניות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הקצאת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קרקע</w:t>
      </w:r>
      <w:r>
        <w:rPr>
          <w:rStyle w:val="any"/>
          <w:rtl/>
        </w:rPr>
        <w:t xml:space="preserve"> - </w:t>
      </w:r>
      <w:r>
        <w:rPr>
          <w:rStyle w:val="any"/>
          <w:rtl/>
          <w:lang w:bidi="he-IL"/>
        </w:rPr>
        <w:t>כללי</w:t>
      </w:r>
    </w:p>
    <w:p w14:paraId="59ABE9AB" w14:textId="77777777" w:rsidR="001B35FE" w:rsidRDefault="00925010">
      <w:pPr>
        <w:pStyle w:val="lawviewview-contentdivtat-header"/>
        <w:bidi/>
        <w:spacing w:after="192" w:line="432" w:lineRule="atLeast"/>
        <w:ind w:left="300" w:right="300"/>
        <w:jc w:val="both"/>
        <w:rPr>
          <w:rStyle w:val="any"/>
          <w:rtl/>
        </w:rPr>
      </w:pPr>
      <w:r>
        <w:rPr>
          <w:rStyle w:val="any"/>
          <w:rtl/>
        </w:rPr>
        <w:t xml:space="preserve">4.2. </w:t>
      </w:r>
      <w:r>
        <w:rPr>
          <w:rStyle w:val="any"/>
          <w:rtl/>
          <w:lang w:bidi="he-IL"/>
        </w:rPr>
        <w:t>הנחות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בהקצאת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קרקע</w:t>
      </w:r>
    </w:p>
    <w:p w14:paraId="4E485C93" w14:textId="77777777" w:rsidR="001B35FE" w:rsidRDefault="00925010">
      <w:pPr>
        <w:pStyle w:val="lawviewview-contentdivtat-header"/>
        <w:bidi/>
        <w:spacing w:after="192" w:line="432" w:lineRule="atLeast"/>
        <w:ind w:left="300" w:right="300"/>
        <w:jc w:val="both"/>
        <w:rPr>
          <w:rStyle w:val="any"/>
          <w:rtl/>
        </w:rPr>
      </w:pPr>
      <w:bookmarkStart w:id="0" w:name="4.2.2."/>
      <w:r>
        <w:rPr>
          <w:rStyle w:val="any"/>
          <w:rtl/>
          <w:lang w:bidi="he-IL"/>
        </w:rPr>
        <w:t>סימן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ב</w:t>
      </w:r>
      <w:r>
        <w:rPr>
          <w:rStyle w:val="any"/>
          <w:rtl/>
        </w:rPr>
        <w:t xml:space="preserve">': </w:t>
      </w:r>
      <w:r>
        <w:rPr>
          <w:rStyle w:val="any"/>
          <w:rtl/>
          <w:lang w:bidi="he-IL"/>
        </w:rPr>
        <w:t>הנחות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בהקצאת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קרקע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לחיילי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מילואים</w:t>
      </w:r>
    </w:p>
    <w:p w14:paraId="49144825" w14:textId="77777777" w:rsidR="001B35FE" w:rsidRDefault="00925010">
      <w:pPr>
        <w:pStyle w:val="lawviewview-contentdivtat-tat-header"/>
        <w:bidi/>
        <w:spacing w:after="192" w:line="432" w:lineRule="atLeast"/>
        <w:ind w:left="300" w:right="300"/>
        <w:jc w:val="both"/>
        <w:rPr>
          <w:rStyle w:val="any"/>
          <w:rtl/>
        </w:rPr>
      </w:pPr>
      <w:r>
        <w:rPr>
          <w:rStyle w:val="any"/>
          <w:rtl/>
        </w:rPr>
        <w:t xml:space="preserve">4.2.12. </w:t>
      </w:r>
      <w:r>
        <w:rPr>
          <w:rStyle w:val="any"/>
          <w:rtl/>
          <w:lang w:bidi="he-IL"/>
        </w:rPr>
        <w:t>הגדרות</w:t>
      </w:r>
    </w:p>
    <w:p w14:paraId="2A209DFE" w14:textId="77777777" w:rsidR="001B35FE" w:rsidRDefault="00925010">
      <w:pPr>
        <w:pStyle w:val="lawviewview-contentdiv"/>
        <w:bidi/>
        <w:spacing w:after="192" w:line="315" w:lineRule="atLeast"/>
        <w:ind w:left="300" w:right="300"/>
        <w:rPr>
          <w:rStyle w:val="any"/>
          <w:rFonts w:ascii="David" w:eastAsia="David" w:hAnsi="David" w:cs="David"/>
          <w:color w:val="212529"/>
          <w:sz w:val="21"/>
          <w:szCs w:val="21"/>
          <w:rtl/>
        </w:rPr>
      </w:pP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בסימן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זה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-</w:t>
      </w:r>
    </w:p>
    <w:p w14:paraId="4059D7FD" w14:textId="77777777" w:rsidR="001B35FE" w:rsidRDefault="00925010">
      <w:pPr>
        <w:pStyle w:val="lawviewview-contentdiv"/>
        <w:bidi/>
        <w:spacing w:after="192" w:line="315" w:lineRule="atLeast"/>
        <w:ind w:left="300" w:right="300"/>
        <w:rPr>
          <w:rStyle w:val="any"/>
          <w:rFonts w:ascii="David" w:eastAsia="David" w:hAnsi="David" w:cs="David"/>
          <w:color w:val="212529"/>
          <w:sz w:val="21"/>
          <w:szCs w:val="21"/>
          <w:rtl/>
        </w:rPr>
      </w:pP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"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חייל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מילואים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פעיל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" -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כל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אחד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מאלה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:</w:t>
      </w:r>
    </w:p>
    <w:p w14:paraId="51BFE006" w14:textId="77777777" w:rsidR="001B35FE" w:rsidRDefault="00925010">
      <w:pPr>
        <w:pStyle w:val="lawviewview-contentdivlaw-content4"/>
        <w:bidi/>
        <w:spacing w:after="192" w:line="315" w:lineRule="atLeast"/>
        <w:ind w:left="1200" w:right="300"/>
        <w:jc w:val="both"/>
        <w:rPr>
          <w:rStyle w:val="any"/>
          <w:rFonts w:ascii="David" w:eastAsia="David" w:hAnsi="David" w:cs="David"/>
          <w:color w:val="212529"/>
          <w:sz w:val="21"/>
          <w:szCs w:val="21"/>
          <w:rtl/>
        </w:rPr>
      </w:pP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(1)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חייל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, 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אשר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נמנה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על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מערך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המילואים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proofErr w:type="spellStart"/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צה</w:t>
      </w:r>
      <w:proofErr w:type="spellEnd"/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"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והמציא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אישור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משרת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מילואים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פעיל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שש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שנתי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מצה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"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(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להלן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בפרק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משנה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זה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-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חלופה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).</w:t>
      </w:r>
    </w:p>
    <w:p w14:paraId="49021B39" w14:textId="77777777" w:rsidR="001B35FE" w:rsidRDefault="00925010">
      <w:pPr>
        <w:pStyle w:val="lawviewview-contentdivlaw-content4"/>
        <w:bidi/>
        <w:spacing w:after="192" w:line="315" w:lineRule="atLeast"/>
        <w:ind w:left="1200" w:right="300"/>
        <w:jc w:val="both"/>
        <w:rPr>
          <w:rStyle w:val="any"/>
          <w:rFonts w:ascii="David" w:eastAsia="David" w:hAnsi="David" w:cs="David"/>
          <w:color w:val="212529"/>
          <w:sz w:val="21"/>
          <w:szCs w:val="21"/>
          <w:rtl/>
        </w:rPr>
      </w:pP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(2)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חייל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אשר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נמנה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על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מערך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המילואים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proofErr w:type="spellStart"/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צה</w:t>
      </w:r>
      <w:proofErr w:type="spellEnd"/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"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6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שנים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לפחות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ואשר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צבר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80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ימי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מילואים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החל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משנת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2000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במשך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תקופה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רצופה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עד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6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שנים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proofErr w:type="spellStart"/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קלנדריות</w:t>
      </w:r>
      <w:proofErr w:type="spellEnd"/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,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אך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אין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הכרח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שבכל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שנה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בתוך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התקופה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,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החייל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ביצע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שירות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מילואים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, (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להלן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בפרק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משנה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זה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-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חלופה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).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לצורך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אישור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זכאות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זה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,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יש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מציא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אישור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מצה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"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על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שירות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מילואים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במשך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תקופה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רצופה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80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ימי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מילואים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עד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6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שנים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proofErr w:type="spellStart"/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קלנדריות</w:t>
      </w:r>
      <w:proofErr w:type="spellEnd"/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.</w:t>
      </w:r>
    </w:p>
    <w:p w14:paraId="70DB39C3" w14:textId="77777777" w:rsidR="001B35FE" w:rsidRDefault="00925010">
      <w:pPr>
        <w:pStyle w:val="lawviewview-contentdivlaw-content4"/>
        <w:bidi/>
        <w:spacing w:after="192" w:line="315" w:lineRule="atLeast"/>
        <w:ind w:left="1200" w:right="300"/>
        <w:jc w:val="both"/>
        <w:rPr>
          <w:rStyle w:val="any"/>
          <w:rFonts w:ascii="David" w:eastAsia="David" w:hAnsi="David" w:cs="David"/>
          <w:color w:val="212529"/>
          <w:sz w:val="21"/>
          <w:szCs w:val="21"/>
          <w:rtl/>
        </w:rPr>
      </w:pP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(3)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לעניין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הגדרה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זו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,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מועד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הזכאות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יהיה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לא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יאוחר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ממועדי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ביצוע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התשלום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הקבועים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בעסקה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או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עד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90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ימים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מיום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אישור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העסקה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,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המוקדם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מבין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השניים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.</w:t>
      </w:r>
    </w:p>
    <w:p w14:paraId="2543E8CD" w14:textId="77777777" w:rsidR="001B35FE" w:rsidRDefault="00925010">
      <w:pPr>
        <w:pStyle w:val="lawviewview-contentdivtat-tat-header"/>
        <w:bidi/>
        <w:spacing w:after="192" w:line="432" w:lineRule="atLeast"/>
        <w:ind w:left="300" w:right="300"/>
        <w:jc w:val="both"/>
        <w:rPr>
          <w:rStyle w:val="any"/>
          <w:rtl/>
        </w:rPr>
      </w:pPr>
      <w:r>
        <w:rPr>
          <w:rStyle w:val="any"/>
          <w:rtl/>
        </w:rPr>
        <w:t xml:space="preserve">4.2.13. </w:t>
      </w:r>
      <w:r>
        <w:rPr>
          <w:rStyle w:val="any"/>
          <w:rtl/>
          <w:lang w:bidi="he-IL"/>
        </w:rPr>
        <w:t>הקצאות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קרקע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למגורים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בבנייה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נמוכה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בדרך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של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פרסום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הרשמה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והגרלה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או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בפטור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ממכרז</w:t>
      </w:r>
    </w:p>
    <w:p w14:paraId="3946B6CC" w14:textId="77777777" w:rsidR="001B35FE" w:rsidRDefault="00925010">
      <w:pPr>
        <w:pStyle w:val="lawviewview-contentdiv"/>
        <w:bidi/>
        <w:spacing w:after="192" w:line="315" w:lineRule="atLeast"/>
        <w:ind w:left="300" w:right="300"/>
        <w:rPr>
          <w:rStyle w:val="any"/>
          <w:rFonts w:ascii="David" w:eastAsia="David" w:hAnsi="David" w:cs="David"/>
          <w:color w:val="212529"/>
          <w:sz w:val="21"/>
          <w:szCs w:val="21"/>
          <w:rtl/>
        </w:rPr>
      </w:pP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בהקצאות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קרקע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למגורים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בבנייה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נמוכה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בדרך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פרסום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הרשמה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והגרלה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או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בפטור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ממכרז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בהתאם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לתקנות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חובת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המכרזים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, </w:t>
      </w:r>
      <w:proofErr w:type="spellStart"/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התשנ</w:t>
      </w:r>
      <w:proofErr w:type="spellEnd"/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"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ג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-1993,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חייל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מילואים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פעיל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אשר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זכה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בהגרלה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או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בהקצאה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בפטור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ממכרז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יהיה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זכאי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להנחה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במחיר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הקרקע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על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ידי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הפחתת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התמורה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בשיעורים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הנקובים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בפסקאות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(1)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עד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(3)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ובלבד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שגובה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ההנחה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לא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יעלה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על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75,000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שקלים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חדשים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לא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כולל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proofErr w:type="spellStart"/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מע</w:t>
      </w:r>
      <w:proofErr w:type="spellEnd"/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"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.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ההנחה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תהא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חד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פעמית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ותינתן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עבור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יחידת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דיור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אחת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בלבד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.</w:t>
      </w:r>
    </w:p>
    <w:p w14:paraId="68DF7E08" w14:textId="77777777" w:rsidR="001B35FE" w:rsidRDefault="00925010">
      <w:pPr>
        <w:pStyle w:val="lawviewview-contentdivlaw-content3"/>
        <w:bidi/>
        <w:spacing w:after="192" w:line="315" w:lineRule="atLeast"/>
        <w:ind w:left="900" w:right="300"/>
        <w:jc w:val="both"/>
        <w:rPr>
          <w:rStyle w:val="any"/>
          <w:rFonts w:ascii="David" w:eastAsia="David" w:hAnsi="David" w:cs="David"/>
          <w:color w:val="212529"/>
          <w:sz w:val="21"/>
          <w:szCs w:val="21"/>
          <w:rtl/>
        </w:rPr>
      </w:pP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(1)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אזורים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שאינם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אזור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עדיפות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לאומית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- </w:t>
      </w:r>
      <w:r>
        <w:rPr>
          <w:rStyle w:val="any"/>
          <w:rFonts w:ascii="David" w:eastAsia="David" w:hAnsi="David" w:cs="David"/>
          <w:color w:val="212529"/>
          <w:sz w:val="21"/>
          <w:szCs w:val="21"/>
        </w:rPr>
        <w:t>10%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;</w:t>
      </w:r>
    </w:p>
    <w:p w14:paraId="60F2F583" w14:textId="77777777" w:rsidR="001B35FE" w:rsidRDefault="00925010">
      <w:pPr>
        <w:pStyle w:val="lawviewview-contentdivlaw-content3"/>
        <w:bidi/>
        <w:spacing w:after="192" w:line="315" w:lineRule="atLeast"/>
        <w:ind w:left="900" w:right="300"/>
        <w:jc w:val="both"/>
        <w:rPr>
          <w:rStyle w:val="any"/>
          <w:rFonts w:ascii="David" w:eastAsia="David" w:hAnsi="David" w:cs="David"/>
          <w:color w:val="212529"/>
          <w:sz w:val="21"/>
          <w:szCs w:val="21"/>
          <w:rtl/>
        </w:rPr>
      </w:pP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(2)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אזור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עדיפות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לאומית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' - </w:t>
      </w:r>
      <w:r>
        <w:rPr>
          <w:rStyle w:val="any"/>
          <w:rFonts w:ascii="David" w:eastAsia="David" w:hAnsi="David" w:cs="David"/>
          <w:color w:val="212529"/>
          <w:sz w:val="21"/>
          <w:szCs w:val="21"/>
        </w:rPr>
        <w:t>20%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;</w:t>
      </w:r>
    </w:p>
    <w:p w14:paraId="63C17F0D" w14:textId="77777777" w:rsidR="001B35FE" w:rsidRDefault="00925010">
      <w:pPr>
        <w:pStyle w:val="lawviewview-contentdivlaw-content3"/>
        <w:bidi/>
        <w:spacing w:after="192" w:line="315" w:lineRule="atLeast"/>
        <w:ind w:left="900" w:right="300"/>
        <w:jc w:val="both"/>
        <w:rPr>
          <w:rStyle w:val="any"/>
          <w:rFonts w:ascii="David" w:eastAsia="David" w:hAnsi="David" w:cs="David"/>
          <w:color w:val="212529"/>
          <w:sz w:val="21"/>
          <w:szCs w:val="21"/>
          <w:rtl/>
        </w:rPr>
      </w:pP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(3)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אזור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עדי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פות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לאומית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' - </w:t>
      </w:r>
      <w:r>
        <w:rPr>
          <w:rStyle w:val="any"/>
          <w:rFonts w:ascii="David" w:eastAsia="David" w:hAnsi="David" w:cs="David"/>
          <w:color w:val="212529"/>
          <w:sz w:val="21"/>
          <w:szCs w:val="21"/>
        </w:rPr>
        <w:t>35%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.</w:t>
      </w:r>
    </w:p>
    <w:p w14:paraId="1133F51C" w14:textId="77777777" w:rsidR="001B35FE" w:rsidRDefault="00925010">
      <w:pPr>
        <w:pStyle w:val="lawviewview-contentdivtat-tat-header"/>
        <w:bidi/>
        <w:spacing w:after="192" w:line="432" w:lineRule="atLeast"/>
        <w:ind w:left="300" w:right="300"/>
        <w:jc w:val="both"/>
        <w:rPr>
          <w:rStyle w:val="any"/>
          <w:rtl/>
        </w:rPr>
      </w:pPr>
      <w:r>
        <w:rPr>
          <w:rStyle w:val="any"/>
          <w:rtl/>
        </w:rPr>
        <w:t xml:space="preserve">4.2.14. </w:t>
      </w:r>
      <w:r>
        <w:rPr>
          <w:rStyle w:val="any"/>
          <w:rtl/>
          <w:lang w:bidi="he-IL"/>
        </w:rPr>
        <w:t>הקצאות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קרקע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למגורים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בבנייה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נמוכה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בדרך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של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מכרז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פומבי</w:t>
      </w:r>
    </w:p>
    <w:p w14:paraId="114EEF6B" w14:textId="77777777" w:rsidR="001B35FE" w:rsidRDefault="00925010">
      <w:pPr>
        <w:pStyle w:val="lawviewview-contentdiv"/>
        <w:bidi/>
        <w:spacing w:after="192" w:line="315" w:lineRule="atLeast"/>
        <w:ind w:left="300" w:right="300"/>
        <w:rPr>
          <w:rStyle w:val="any"/>
          <w:rFonts w:ascii="David" w:eastAsia="David" w:hAnsi="David" w:cs="David"/>
          <w:color w:val="212529"/>
          <w:sz w:val="21"/>
          <w:szCs w:val="21"/>
          <w:rtl/>
        </w:rPr>
      </w:pP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lastRenderedPageBreak/>
        <w:t>(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)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בהקצאות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קרקע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למגורים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בבנייה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נמוכה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בדרך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מכרז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פומבי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,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חייל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מילואים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פעיל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אשר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זכה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במכרז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פומבי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זכאי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להנחה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במחיר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הקרקע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מהמחיר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שהוצע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על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ידיו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במכרז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על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ידי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הפחתת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התמורה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- </w:t>
      </w:r>
      <w:r>
        <w:rPr>
          <w:rStyle w:val="any"/>
          <w:rFonts w:ascii="David" w:eastAsia="David" w:hAnsi="David" w:cs="David"/>
          <w:color w:val="212529"/>
          <w:sz w:val="21"/>
          <w:szCs w:val="21"/>
        </w:rPr>
        <w:t>15%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לא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חר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קביעת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הזוכה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במכרז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ובלבד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שגובה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ההנחה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לא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יעלה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על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75,000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שקלים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חדשים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לא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כולל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מע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"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.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ההנחה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תהא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חד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פעמית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ותינתן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עבור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יחידת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דיור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אחת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בלבד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.</w:t>
      </w:r>
    </w:p>
    <w:p w14:paraId="1C4390D9" w14:textId="77777777" w:rsidR="001B35FE" w:rsidRDefault="00925010">
      <w:pPr>
        <w:pStyle w:val="lawviewview-contentdiv"/>
        <w:bidi/>
        <w:spacing w:after="192" w:line="315" w:lineRule="atLeast"/>
        <w:ind w:left="300" w:right="300"/>
        <w:rPr>
          <w:rStyle w:val="any"/>
          <w:rFonts w:ascii="David" w:eastAsia="David" w:hAnsi="David" w:cs="David"/>
          <w:color w:val="212529"/>
          <w:sz w:val="21"/>
          <w:szCs w:val="21"/>
          <w:rtl/>
        </w:rPr>
      </w:pP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(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)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חייל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מילואים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פעיל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אשר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רכש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קרקע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למגורים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בבנייה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נמוכה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,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במסגרת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חברותו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בעמותה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אשר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השתתפה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במכרז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פומבי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לרכישת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הקרקע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,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יוכל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קבל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החזר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</w:rPr>
        <w:t>15%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ממרכיב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הקרקע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שאותה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רכש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לצורך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מגוריו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ובלבד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שגובה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ההחזר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לא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יעלה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על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75,000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שקלים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חדשים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לא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כולל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מע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"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.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ההחזר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יהא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חד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פעמי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ויינתן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עבור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יחידת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דיור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אחת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בלבד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.</w:t>
      </w:r>
    </w:p>
    <w:p w14:paraId="6718986A" w14:textId="77777777" w:rsidR="001B35FE" w:rsidRDefault="00925010">
      <w:pPr>
        <w:pStyle w:val="lawviewview-contentdivtat-tat-header"/>
        <w:bidi/>
        <w:spacing w:after="192" w:line="432" w:lineRule="atLeast"/>
        <w:ind w:left="300" w:right="300"/>
        <w:jc w:val="both"/>
        <w:rPr>
          <w:rStyle w:val="any"/>
          <w:rtl/>
        </w:rPr>
      </w:pPr>
      <w:r>
        <w:rPr>
          <w:rStyle w:val="any"/>
          <w:rtl/>
        </w:rPr>
        <w:t xml:space="preserve">4.2.15. </w:t>
      </w:r>
      <w:r>
        <w:rPr>
          <w:rStyle w:val="any"/>
          <w:rtl/>
          <w:lang w:bidi="he-IL"/>
        </w:rPr>
        <w:t>כפל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הנחות</w:t>
      </w:r>
    </w:p>
    <w:p w14:paraId="359C1491" w14:textId="77777777" w:rsidR="001B35FE" w:rsidRDefault="00925010">
      <w:pPr>
        <w:pStyle w:val="lawviewview-contentdiv"/>
        <w:bidi/>
        <w:spacing w:after="192" w:line="315" w:lineRule="atLeast"/>
        <w:ind w:left="300" w:right="300"/>
        <w:rPr>
          <w:rStyle w:val="any"/>
          <w:rFonts w:ascii="David" w:eastAsia="David" w:hAnsi="David" w:cs="David"/>
          <w:color w:val="212529"/>
          <w:sz w:val="21"/>
          <w:szCs w:val="21"/>
          <w:rtl/>
        </w:rPr>
      </w:pP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חייל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מילואים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פעיל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יהיה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זכאי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לכפל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הנחות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במחיר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הקרקע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.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אולם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רשאית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הנהלת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הרשו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לקבוע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סוגי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הנחות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אשר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לגביהם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לא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יהיה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כפל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הנחות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.</w:t>
      </w:r>
    </w:p>
    <w:p w14:paraId="3FCDD465" w14:textId="77777777" w:rsidR="001B35FE" w:rsidRDefault="00925010">
      <w:pPr>
        <w:pStyle w:val="lawviewview-contentdivtat-tat-header"/>
        <w:bidi/>
        <w:spacing w:after="192" w:line="432" w:lineRule="atLeast"/>
        <w:ind w:left="300" w:right="300"/>
        <w:jc w:val="both"/>
        <w:rPr>
          <w:rStyle w:val="any"/>
          <w:rtl/>
        </w:rPr>
      </w:pPr>
      <w:r>
        <w:rPr>
          <w:rStyle w:val="any"/>
          <w:rtl/>
        </w:rPr>
        <w:t xml:space="preserve">4.2.16. </w:t>
      </w:r>
      <w:r>
        <w:rPr>
          <w:rStyle w:val="any"/>
          <w:rtl/>
          <w:lang w:bidi="he-IL"/>
        </w:rPr>
        <w:t>תוקף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מימוש</w:t>
      </w:r>
      <w:r>
        <w:rPr>
          <w:rStyle w:val="any"/>
          <w:rtl/>
        </w:rPr>
        <w:t xml:space="preserve"> </w:t>
      </w:r>
      <w:r>
        <w:rPr>
          <w:rStyle w:val="any"/>
          <w:rtl/>
          <w:lang w:bidi="he-IL"/>
        </w:rPr>
        <w:t>ההטבה</w:t>
      </w:r>
    </w:p>
    <w:p w14:paraId="5659F8BD" w14:textId="77777777" w:rsidR="001B35FE" w:rsidRDefault="00925010">
      <w:pPr>
        <w:pStyle w:val="lawviewview-contentdiv"/>
        <w:bidi/>
        <w:spacing w:after="192" w:line="315" w:lineRule="atLeast"/>
        <w:ind w:left="300" w:right="300"/>
        <w:rPr>
          <w:rStyle w:val="any"/>
          <w:rFonts w:ascii="David" w:eastAsia="David" w:hAnsi="David" w:cs="David"/>
          <w:color w:val="212529"/>
          <w:sz w:val="21"/>
          <w:szCs w:val="21"/>
          <w:rtl/>
        </w:rPr>
      </w:pP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עם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עמידתו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חייל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המילואים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בתנאי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סימן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זה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,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ניתן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יהיה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לממש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את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ההטבה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הנזכרת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בסימן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זה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,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עד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6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שנים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מיום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שחרורו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משירות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מילואים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 xml:space="preserve"> 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בצה</w:t>
      </w:r>
      <w:proofErr w:type="spellStart"/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"</w:t>
      </w:r>
      <w:proofErr w:type="spellEnd"/>
      <w:r>
        <w:rPr>
          <w:rStyle w:val="any"/>
          <w:rFonts w:ascii="David" w:eastAsia="David" w:hAnsi="David" w:cs="David"/>
          <w:color w:val="212529"/>
          <w:sz w:val="21"/>
          <w:szCs w:val="21"/>
          <w:rtl/>
          <w:lang w:bidi="he-IL"/>
        </w:rPr>
        <w:t>ל</w:t>
      </w:r>
      <w:r>
        <w:rPr>
          <w:rStyle w:val="any"/>
          <w:rFonts w:ascii="David" w:eastAsia="David" w:hAnsi="David" w:cs="David"/>
          <w:color w:val="212529"/>
          <w:sz w:val="21"/>
          <w:szCs w:val="21"/>
          <w:rtl/>
        </w:rPr>
        <w:t>.</w:t>
      </w:r>
    </w:p>
    <w:bookmarkEnd w:id="0"/>
    <w:p w14:paraId="534549A7" w14:textId="77777777" w:rsidR="00A77B3E" w:rsidRDefault="00A77B3E"/>
    <w:sectPr w:rsidR="00A77B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formaMedium">
    <w:altName w:val="Cambria"/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B35FE"/>
    <w:rsid w:val="0092501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D201A"/>
  <w15:docId w15:val="{13C442A5-1C97-4749-9C27-C527F0C5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y">
    <w:name w:val="any"/>
    <w:basedOn w:val="a0"/>
  </w:style>
  <w:style w:type="paragraph" w:customStyle="1" w:styleId="anyParagraph">
    <w:name w:val="any Paragraph"/>
    <w:basedOn w:val="a"/>
  </w:style>
  <w:style w:type="paragraph" w:customStyle="1" w:styleId="law">
    <w:name w:val="law"/>
    <w:basedOn w:val="a"/>
  </w:style>
  <w:style w:type="paragraph" w:customStyle="1" w:styleId="lawview">
    <w:name w:val="law_view"/>
    <w:basedOn w:val="a"/>
  </w:style>
  <w:style w:type="paragraph" w:customStyle="1" w:styleId="lawviewview-content">
    <w:name w:val="law_view_view-content"/>
    <w:basedOn w:val="a"/>
  </w:style>
  <w:style w:type="paragraph" w:customStyle="1" w:styleId="lawviewview-contentdiv">
    <w:name w:val="law_view_view-content_div"/>
    <w:basedOn w:val="a"/>
    <w:pPr>
      <w:spacing w:line="360" w:lineRule="atLeast"/>
      <w:jc w:val="both"/>
    </w:pPr>
  </w:style>
  <w:style w:type="paragraph" w:customStyle="1" w:styleId="lawviewview-contentdivtat-header">
    <w:name w:val="law_view_view-content_div_tat-header"/>
    <w:basedOn w:val="a"/>
    <w:rPr>
      <w:rFonts w:ascii="ReformaMedium" w:eastAsia="ReformaMedium" w:hAnsi="ReformaMedium" w:cs="ReformaMedium"/>
      <w:color w:val="3D607F"/>
      <w:sz w:val="36"/>
      <w:szCs w:val="36"/>
    </w:rPr>
  </w:style>
  <w:style w:type="paragraph" w:customStyle="1" w:styleId="lawviewview-contentdivh3tat-header">
    <w:name w:val="law_view_view-content_div_h3_tat-header"/>
    <w:basedOn w:val="a"/>
    <w:rPr>
      <w:rFonts w:ascii="ReformaMedium" w:eastAsia="ReformaMedium" w:hAnsi="ReformaMedium" w:cs="ReformaMedium"/>
      <w:color w:val="3D607F"/>
      <w:sz w:val="36"/>
      <w:szCs w:val="36"/>
    </w:rPr>
  </w:style>
  <w:style w:type="paragraph" w:customStyle="1" w:styleId="lawviewview-contentdivtat-tat-header">
    <w:name w:val="law_view_view-content_div_tat-tat-header"/>
    <w:basedOn w:val="a"/>
    <w:rPr>
      <w:rFonts w:ascii="ReformaMedium" w:eastAsia="ReformaMedium" w:hAnsi="ReformaMedium" w:cs="ReformaMedium"/>
      <w:color w:val="3D607F"/>
      <w:sz w:val="29"/>
      <w:szCs w:val="29"/>
    </w:rPr>
  </w:style>
  <w:style w:type="paragraph" w:customStyle="1" w:styleId="lawviewview-contentdivlaw-content3">
    <w:name w:val="law_view_view-content_div_law-content3"/>
    <w:basedOn w:val="a"/>
    <w:pPr>
      <w:pBdr>
        <w:right w:val="none" w:sz="0" w:space="30" w:color="auto"/>
      </w:pBdr>
    </w:pPr>
  </w:style>
  <w:style w:type="character" w:customStyle="1" w:styleId="lawviewview-contentdivlaw-mainany">
    <w:name w:val="law_view_view-content_div_law-main_any"/>
    <w:basedOn w:val="a0"/>
    <w:rPr>
      <w:rFonts w:ascii="David" w:eastAsia="David" w:hAnsi="David" w:cs="David"/>
      <w:sz w:val="24"/>
      <w:szCs w:val="24"/>
    </w:rPr>
  </w:style>
  <w:style w:type="paragraph" w:customStyle="1" w:styleId="lawviewview-contentdivlaw-content4">
    <w:name w:val="law_view_view-content_div_law-content4"/>
    <w:basedOn w:val="a"/>
    <w:pPr>
      <w:pBdr>
        <w:right w:val="none" w:sz="0" w:space="31" w:color="auto"/>
      </w:pBdr>
    </w:pPr>
  </w:style>
  <w:style w:type="paragraph" w:customStyle="1" w:styleId="lawviewview-contentdivlaw-content5">
    <w:name w:val="law_view_view-content_div_law-content5"/>
    <w:basedOn w:val="a"/>
    <w:pPr>
      <w:pBdr>
        <w:right w:val="none" w:sz="0" w:space="31" w:color="auto"/>
      </w:pBdr>
    </w:pPr>
  </w:style>
  <w:style w:type="paragraph" w:customStyle="1" w:styleId="lawviewview-contentp-no-content">
    <w:name w:val="law_view_view-content_p-no-content"/>
    <w:basedOn w:val="a"/>
  </w:style>
  <w:style w:type="paragraph" w:customStyle="1" w:styleId="lawviewview-contentdivlaw-mainanyParagraph">
    <w:name w:val="law_view_view-content_div_law-main_any Paragraph"/>
    <w:basedOn w:val="a"/>
    <w:rPr>
      <w:rFonts w:ascii="David" w:eastAsia="David" w:hAnsi="David"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 gabay</cp:lastModifiedBy>
  <cp:revision>2</cp:revision>
  <dcterms:created xsi:type="dcterms:W3CDTF">2020-06-27T20:27:00Z</dcterms:created>
  <dcterms:modified xsi:type="dcterms:W3CDTF">2020-06-27T20:30:00Z</dcterms:modified>
</cp:coreProperties>
</file>