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-19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חוג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בשיטת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פלדנקרייז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בנהלל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1676400</wp:posOffset>
            </wp:positionH>
            <wp:positionV relativeFrom="paragraph">
              <wp:posOffset>128904</wp:posOffset>
            </wp:positionV>
            <wp:extent cx="1280160" cy="1280160"/>
            <wp:effectExtent b="0" l="0" r="0" t="0"/>
            <wp:wrapNone/>
            <wp:docPr descr="ייתכן שזו תמונה של ‏‏אדם אחד‏ ו‏מחייך/מחייכת‏‏" id="1" name="image1.png"/>
            <a:graphic>
              <a:graphicData uri="http://schemas.openxmlformats.org/drawingml/2006/picture">
                <pic:pic>
                  <pic:nvPicPr>
                    <pic:cNvPr descr="ייתכן שזו תמונה של ‏‏אדם אחד‏ ו‏מחייך/מחייכת‏‏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bidi w:val="1"/>
        <w:ind w:left="-19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בהנחיית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ד</w:t>
      </w:r>
      <w:r w:rsidDel="00000000" w:rsidR="00000000" w:rsidRPr="00000000">
        <w:rPr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עפרה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נצר</w:t>
      </w:r>
    </w:p>
    <w:p w:rsidR="00000000" w:rsidDel="00000000" w:rsidP="00000000" w:rsidRDefault="00000000" w:rsidRPr="00000000" w14:paraId="00000004">
      <w:pPr>
        <w:tabs>
          <w:tab w:val="left" w:pos="938"/>
        </w:tabs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38"/>
        </w:tabs>
        <w:bidi w:val="1"/>
        <w:ind w:left="-19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חברים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יקרים</w:t>
      </w:r>
      <w:r w:rsidDel="00000000" w:rsidR="00000000" w:rsidRPr="00000000">
        <w:rPr>
          <w:sz w:val="28"/>
          <w:szCs w:val="28"/>
          <w:rtl w:val="1"/>
        </w:rPr>
        <w:t xml:space="preserve">, </w:t>
      </w:r>
    </w:p>
    <w:p w:rsidR="00000000" w:rsidDel="00000000" w:rsidP="00000000" w:rsidRDefault="00000000" w:rsidRPr="00000000" w14:paraId="00000006">
      <w:pPr>
        <w:tabs>
          <w:tab w:val="left" w:pos="938"/>
        </w:tabs>
        <w:bidi w:val="1"/>
        <w:ind w:left="-19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פלדנקרייז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מתקיים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בנהלל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במועדון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ותיקים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ניתן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להצטרף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לחוג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בתיאום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המדריכה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tabs>
          <w:tab w:val="left" w:pos="938"/>
        </w:tabs>
        <w:bidi w:val="1"/>
        <w:ind w:left="-19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אודות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השיטה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8">
      <w:pPr>
        <w:tabs>
          <w:tab w:val="left" w:pos="938"/>
        </w:tabs>
        <w:bidi w:val="1"/>
        <w:ind w:left="-19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שיטת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פלדנקרייז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מאפשרת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לחוות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תנועות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מנוצלות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בחיי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משחררת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מתכתיבי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תנועה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הרגליים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יעילים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שיפור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איכות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התנועה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נלמד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באמצעות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רצף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תנועות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עדינות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תוך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חיפוש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וחקר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מרתק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מגוון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אפשרויות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התנועה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בגופנו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השיטה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יכולה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להועיל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גיל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הלומדים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השיטה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שימוש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בשיעור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בחיי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יומיום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tabs>
          <w:tab w:val="left" w:pos="938"/>
        </w:tabs>
        <w:bidi w:val="1"/>
        <w:ind w:left="-19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אודות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המדריכה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ind w:left="-19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עפרה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נצר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פיזיותרפיסטית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מוסמכת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בשיטת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פלדנקרייז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שנים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משלבת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תחומי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הידע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בטיפולים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והוראה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באקדמיה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ובקהילה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במפגשים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קבוצתיים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ואישיים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tabs>
          <w:tab w:val="left" w:pos="938"/>
        </w:tabs>
        <w:bidi w:val="1"/>
        <w:ind w:left="-19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38"/>
        </w:tabs>
        <w:bidi w:val="1"/>
        <w:ind w:left="-199" w:firstLine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1"/>
        </w:rPr>
        <w:t xml:space="preserve">להרשמה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וקבלת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פרטים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נוספים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עפרה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נצר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טל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rtl w:val="0"/>
        </w:rPr>
        <w:t xml:space="preserve">0509116646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, </w:t>
      </w:r>
      <w:r w:rsidDel="00000000" w:rsidR="00000000" w:rsidRPr="00000000">
        <w:rPr>
          <w:sz w:val="28"/>
          <w:szCs w:val="28"/>
          <w:rtl w:val="1"/>
        </w:rPr>
        <w:t xml:space="preserve">דוא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netzerofra@gmail.com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938"/>
        </w:tabs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etzerof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