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257800" cy="422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color w:val="40404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האנסמבל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אמיל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אייבינדר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מוזיקה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חובקת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בלקנית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וצוענית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צרפתית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ודרום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–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אמריקאית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המשלבת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יופי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ועומק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עוצמה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ורוך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געגועים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צובטי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ושמחה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קצבית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אייבינדר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וירטואוז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אקורדיון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נודע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יציג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במופע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לחנים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עממיים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מלאי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חיוניות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זמניים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ארציים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נגינתו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מפליאה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לבטא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ניואנסים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סגנוניים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ונעה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צלילים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עדינים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מפגנים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טכניים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1"/>
          <w:sz w:val="28"/>
          <w:szCs w:val="28"/>
          <w:highlight w:val="white"/>
          <w:rtl w:val="1"/>
        </w:rPr>
        <w:t xml:space="preserve">מהפנטים</w:t>
      </w:r>
      <w:r w:rsidDel="00000000" w:rsidR="00000000" w:rsidRPr="00000000">
        <w:rPr>
          <w:rFonts w:ascii="Arial" w:cs="Arial" w:eastAsia="Arial" w:hAnsi="Arial"/>
          <w:color w:val="404041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